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41" w:rsidRDefault="00EE0341" w:rsidP="001911E9">
      <w:pPr>
        <w:spacing w:after="0" w:line="240" w:lineRule="auto"/>
        <w:jc w:val="right"/>
        <w:rPr>
          <w:rFonts w:ascii="Arial" w:hAnsi="Arial" w:cs="Arial"/>
          <w:b/>
          <w:color w:val="7B9623"/>
        </w:rPr>
      </w:pPr>
      <w:bookmarkStart w:id="0" w:name="_GoBack"/>
      <w:bookmarkEnd w:id="0"/>
    </w:p>
    <w:p w:rsidR="0000742B" w:rsidRPr="0000742B" w:rsidRDefault="0000742B" w:rsidP="0000742B">
      <w:pPr>
        <w:spacing w:before="240"/>
        <w:jc w:val="center"/>
        <w:rPr>
          <w:rFonts w:ascii="Arial" w:hAnsi="Arial" w:cs="Arial"/>
          <w:b/>
          <w:color w:val="7B9623"/>
          <w:sz w:val="28"/>
          <w:szCs w:val="28"/>
        </w:rPr>
      </w:pPr>
      <w:r w:rsidRPr="0000742B">
        <w:rPr>
          <w:rFonts w:ascii="Arial" w:hAnsi="Arial" w:cs="Arial"/>
          <w:b/>
          <w:color w:val="7B9623"/>
          <w:sz w:val="28"/>
          <w:szCs w:val="28"/>
        </w:rPr>
        <w:t>El II Simposio Nacional del Ch</w:t>
      </w:r>
      <w:r w:rsidRPr="00F80C87">
        <w:rPr>
          <w:rFonts w:ascii="Arial" w:hAnsi="Arial" w:cs="Arial"/>
          <w:b/>
          <w:color w:val="7B9623"/>
          <w:sz w:val="28"/>
          <w:szCs w:val="28"/>
        </w:rPr>
        <w:t>opo presentará a los propietarios forestales de Castilla y León</w:t>
      </w:r>
      <w:r w:rsidRPr="0000742B">
        <w:rPr>
          <w:rFonts w:ascii="Arial" w:hAnsi="Arial" w:cs="Arial"/>
          <w:b/>
          <w:color w:val="7B9623"/>
          <w:sz w:val="28"/>
          <w:szCs w:val="28"/>
        </w:rPr>
        <w:t xml:space="preserve"> el potencial y la rentabilidad de estas plantaciones en la región</w:t>
      </w:r>
    </w:p>
    <w:p w:rsidR="0000742B" w:rsidRPr="0000742B" w:rsidRDefault="0000742B" w:rsidP="0000742B">
      <w:pPr>
        <w:ind w:left="-142" w:right="-143"/>
        <w:jc w:val="center"/>
        <w:rPr>
          <w:rFonts w:ascii="Arial" w:hAnsi="Arial" w:cs="Arial"/>
          <w:b/>
          <w:color w:val="602C13"/>
          <w:sz w:val="24"/>
          <w:szCs w:val="24"/>
        </w:rPr>
      </w:pPr>
      <w:r w:rsidRPr="0000742B">
        <w:rPr>
          <w:rFonts w:ascii="Arial" w:hAnsi="Arial" w:cs="Arial"/>
          <w:b/>
          <w:color w:val="602C13"/>
          <w:sz w:val="24"/>
          <w:szCs w:val="24"/>
        </w:rPr>
        <w:t>Las choperas de la Comunidad podrían generar para el periodo 2017-2034 cerca de 8 millones de metros cúbicos de madera</w:t>
      </w:r>
    </w:p>
    <w:p w:rsidR="0000742B" w:rsidRDefault="0000742B" w:rsidP="00BA1E9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Valladolid acoge del 17 al 19 de octubre una de las más importantes citas del sector de la populicultura, el II Simposio Nacional del Chopo, que prestará especial atención a las oportunidades de este cultivo en las zonas productoras. Los organizadores del encuentro han previsto abordar en una mesa temática específica la gestión, ayudas existentes, la rentabilidad del cultivo y la fiscalidad a la que están sujetas estas plantaciones, en el contexto de las prácticas que se desarrollan, aunando productividad y gestión sostenible del recurso.</w:t>
      </w:r>
    </w:p>
    <w:p w:rsidR="0000742B" w:rsidRDefault="00632D83" w:rsidP="0000742B">
      <w:pPr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La programación</w:t>
      </w:r>
      <w:r w:rsidR="0000742B">
        <w:rPr>
          <w:rFonts w:ascii="Arial" w:hAnsi="Arial" w:cs="Arial"/>
        </w:rPr>
        <w:t xml:space="preserve"> del Simposio abordará </w:t>
      </w:r>
      <w:r w:rsidR="0000742B" w:rsidRPr="0000742B">
        <w:rPr>
          <w:rFonts w:ascii="Arial" w:hAnsi="Arial" w:cs="Arial"/>
          <w:sz w:val="21"/>
          <w:szCs w:val="21"/>
        </w:rPr>
        <w:t>la gestión de las choperas desde un amplio abanico de puntos de vista</w:t>
      </w:r>
      <w:r w:rsidR="0000742B">
        <w:rPr>
          <w:rFonts w:ascii="Arial" w:hAnsi="Arial" w:cs="Arial"/>
          <w:sz w:val="21"/>
          <w:szCs w:val="21"/>
        </w:rPr>
        <w:t xml:space="preserve">, exponiendo </w:t>
      </w:r>
      <w:r w:rsidR="0000742B" w:rsidRPr="0000742B">
        <w:rPr>
          <w:rFonts w:ascii="Arial" w:hAnsi="Arial" w:cs="Arial"/>
          <w:sz w:val="21"/>
          <w:szCs w:val="21"/>
        </w:rPr>
        <w:t xml:space="preserve">las necesidades de los propietarios forestales y las posibles medidas para dinamizar este sector productivo. </w:t>
      </w:r>
      <w:r w:rsidR="0000742B">
        <w:rPr>
          <w:rFonts w:ascii="Arial" w:hAnsi="Arial" w:cs="Arial"/>
          <w:sz w:val="21"/>
          <w:szCs w:val="21"/>
        </w:rPr>
        <w:t>También s</w:t>
      </w:r>
      <w:r w:rsidR="0000742B" w:rsidRPr="0000742B">
        <w:rPr>
          <w:rFonts w:ascii="Arial" w:hAnsi="Arial" w:cs="Arial"/>
          <w:sz w:val="21"/>
          <w:szCs w:val="21"/>
        </w:rPr>
        <w:t xml:space="preserve">e estudiará la elaboración de documentos de ordenación y la certificación de la gestión forestal sostenible. </w:t>
      </w:r>
    </w:p>
    <w:p w:rsidR="0000742B" w:rsidRDefault="0000742B" w:rsidP="0000742B">
      <w:pPr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Por otro lado, s</w:t>
      </w:r>
      <w:r w:rsidRPr="0000742B">
        <w:rPr>
          <w:rFonts w:ascii="Arial" w:hAnsi="Arial" w:cs="Arial"/>
          <w:sz w:val="21"/>
          <w:szCs w:val="21"/>
        </w:rPr>
        <w:t xml:space="preserve">e repasará la problemática existente para poner a disposición de la populicultura determinados terrenos o las dificultades existentes para realizar el aprovechamiento. </w:t>
      </w:r>
      <w:r>
        <w:rPr>
          <w:rFonts w:ascii="Arial" w:hAnsi="Arial" w:cs="Arial"/>
          <w:sz w:val="21"/>
          <w:szCs w:val="21"/>
        </w:rPr>
        <w:t>Y, como uno de los aspectos más interesantes para los propietarios forestales, s</w:t>
      </w:r>
      <w:r w:rsidRPr="0000742B">
        <w:rPr>
          <w:rFonts w:ascii="Arial" w:hAnsi="Arial" w:cs="Arial"/>
          <w:sz w:val="21"/>
          <w:szCs w:val="21"/>
        </w:rPr>
        <w:t>e analizará la productividad y la rentabilidad actual de las plantaciones, así como los turnos más adecuados teniendo en cuenta una diversidad de factores.</w:t>
      </w:r>
    </w:p>
    <w:p w:rsidR="004259CE" w:rsidRDefault="001A1430" w:rsidP="001A1430">
      <w:pPr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Algunos de los datos que se pondrán sobre la mesa, y que constatan el potencial de las plantaciones de chopo, evidencian un incremento de la demanda de la madera que sale de estas plantaciones destinada principalmente a la industria del tablero contrachapado. </w:t>
      </w:r>
      <w:r w:rsidRPr="001A1430">
        <w:rPr>
          <w:rFonts w:ascii="Arial" w:hAnsi="Arial" w:cs="Arial"/>
          <w:sz w:val="21"/>
          <w:szCs w:val="21"/>
        </w:rPr>
        <w:t>Se estima que hay </w:t>
      </w:r>
      <w:r w:rsidR="004259CE">
        <w:rPr>
          <w:rFonts w:ascii="Arial" w:hAnsi="Arial" w:cs="Arial"/>
          <w:sz w:val="21"/>
          <w:szCs w:val="21"/>
        </w:rPr>
        <w:t xml:space="preserve">más de </w:t>
      </w:r>
      <w:r w:rsidRPr="001A1430">
        <w:rPr>
          <w:rFonts w:ascii="Arial" w:hAnsi="Arial" w:cs="Arial"/>
          <w:sz w:val="21"/>
          <w:szCs w:val="21"/>
        </w:rPr>
        <w:t>44.000 hectáreas de choperas en Castilla y León, que suponen un 60% de la superficie cultivada a escala estatal</w:t>
      </w:r>
      <w:r w:rsidR="00F80C87">
        <w:rPr>
          <w:rFonts w:ascii="Arial" w:hAnsi="Arial" w:cs="Arial"/>
          <w:sz w:val="21"/>
          <w:szCs w:val="21"/>
        </w:rPr>
        <w:t>, cifra que posiciona a esta Comunidad como la primera productora de España (con un total de 100.000 ha). En el ranking mundial, liderado por China (</w:t>
      </w:r>
      <w:r w:rsidR="00F80C87" w:rsidRPr="00F80C87">
        <w:rPr>
          <w:rFonts w:ascii="Arial" w:hAnsi="Arial" w:cs="Arial"/>
          <w:sz w:val="21"/>
          <w:szCs w:val="21"/>
        </w:rPr>
        <w:t>7,6 millones de ha</w:t>
      </w:r>
      <w:r w:rsidR="00F80C87">
        <w:rPr>
          <w:rFonts w:ascii="Arial" w:hAnsi="Arial" w:cs="Arial"/>
          <w:sz w:val="21"/>
          <w:szCs w:val="21"/>
        </w:rPr>
        <w:t>), nuestro país ocupa la cuarta posición.</w:t>
      </w:r>
    </w:p>
    <w:p w:rsidR="00F80C87" w:rsidRPr="00F80C87" w:rsidRDefault="00F80C87" w:rsidP="00F27596">
      <w:pPr>
        <w:spacing w:before="240" w:after="0"/>
        <w:jc w:val="both"/>
        <w:rPr>
          <w:rFonts w:ascii="Arial" w:hAnsi="Arial" w:cs="Arial"/>
          <w:b/>
          <w:color w:val="7B9623"/>
          <w:sz w:val="21"/>
          <w:szCs w:val="21"/>
        </w:rPr>
      </w:pPr>
      <w:r w:rsidRPr="00F80C87">
        <w:rPr>
          <w:rFonts w:ascii="Arial" w:hAnsi="Arial" w:cs="Arial"/>
          <w:b/>
          <w:color w:val="7B9623"/>
          <w:sz w:val="21"/>
          <w:szCs w:val="21"/>
        </w:rPr>
        <w:t>El papel destacado de los propietarios privados</w:t>
      </w:r>
    </w:p>
    <w:p w:rsidR="004259CE" w:rsidRDefault="004259CE" w:rsidP="00F27596">
      <w:pPr>
        <w:jc w:val="both"/>
        <w:rPr>
          <w:rFonts w:ascii="Arial" w:hAnsi="Arial" w:cs="Arial"/>
          <w:sz w:val="21"/>
          <w:szCs w:val="21"/>
        </w:rPr>
      </w:pPr>
      <w:r w:rsidRPr="004259CE">
        <w:rPr>
          <w:rFonts w:ascii="Arial" w:hAnsi="Arial" w:cs="Arial"/>
          <w:sz w:val="21"/>
          <w:szCs w:val="21"/>
          <w:lang w:val="es-ES_tradnl"/>
        </w:rPr>
        <w:t xml:space="preserve">La propiedad </w:t>
      </w:r>
      <w:r w:rsidR="00F80C87">
        <w:rPr>
          <w:rFonts w:ascii="Arial" w:hAnsi="Arial" w:cs="Arial"/>
          <w:sz w:val="21"/>
          <w:szCs w:val="21"/>
          <w:lang w:val="es-ES_tradnl"/>
        </w:rPr>
        <w:t xml:space="preserve">del 46,5% de la superficie de plantaciones de chopo recae fundamentalmente en manos privadas, como una alternativa más rentable en terrenos que, en general, no son aptos para la agricultura. </w:t>
      </w:r>
    </w:p>
    <w:p w:rsidR="00F80C87" w:rsidRPr="00B82064" w:rsidRDefault="001A1430" w:rsidP="00340E74">
      <w:pPr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Castilla y León, las provincias con mayor superficie destinada a choperas de producción son León (con </w:t>
      </w:r>
      <w:r w:rsidRPr="001A1430">
        <w:rPr>
          <w:rFonts w:ascii="Arial" w:hAnsi="Arial" w:cs="Arial"/>
          <w:sz w:val="21"/>
          <w:szCs w:val="21"/>
        </w:rPr>
        <w:t>19</w:t>
      </w:r>
      <w:r>
        <w:rPr>
          <w:rFonts w:ascii="Arial" w:hAnsi="Arial" w:cs="Arial"/>
          <w:sz w:val="21"/>
          <w:szCs w:val="21"/>
        </w:rPr>
        <w:t>.</w:t>
      </w:r>
      <w:r w:rsidRPr="001A1430">
        <w:rPr>
          <w:rFonts w:ascii="Arial" w:hAnsi="Arial" w:cs="Arial"/>
          <w:sz w:val="21"/>
          <w:szCs w:val="21"/>
        </w:rPr>
        <w:t>385</w:t>
      </w:r>
      <w:r>
        <w:rPr>
          <w:rFonts w:ascii="Arial" w:hAnsi="Arial" w:cs="Arial"/>
          <w:sz w:val="21"/>
          <w:szCs w:val="21"/>
        </w:rPr>
        <w:t xml:space="preserve"> hectáreas); Zamora (</w:t>
      </w:r>
      <w:r w:rsidRPr="001A1430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.</w:t>
      </w:r>
      <w:r w:rsidRPr="001A1430">
        <w:rPr>
          <w:rFonts w:ascii="Arial" w:hAnsi="Arial" w:cs="Arial"/>
          <w:sz w:val="21"/>
          <w:szCs w:val="21"/>
        </w:rPr>
        <w:t>609</w:t>
      </w:r>
      <w:r>
        <w:rPr>
          <w:rFonts w:ascii="Arial" w:hAnsi="Arial" w:cs="Arial"/>
          <w:sz w:val="21"/>
          <w:szCs w:val="21"/>
        </w:rPr>
        <w:t xml:space="preserve"> ha) y </w:t>
      </w:r>
      <w:r w:rsidR="004259CE">
        <w:rPr>
          <w:rFonts w:ascii="Arial" w:hAnsi="Arial" w:cs="Arial"/>
          <w:sz w:val="21"/>
          <w:szCs w:val="21"/>
        </w:rPr>
        <w:t>Palencia (</w:t>
      </w:r>
      <w:r w:rsidR="004259CE" w:rsidRPr="004259CE">
        <w:rPr>
          <w:rFonts w:ascii="Arial" w:hAnsi="Arial" w:cs="Arial"/>
          <w:sz w:val="21"/>
          <w:szCs w:val="21"/>
        </w:rPr>
        <w:t>6</w:t>
      </w:r>
      <w:r w:rsidR="004259CE">
        <w:rPr>
          <w:rFonts w:ascii="Arial" w:hAnsi="Arial" w:cs="Arial"/>
          <w:sz w:val="21"/>
          <w:szCs w:val="21"/>
        </w:rPr>
        <w:t>.</w:t>
      </w:r>
      <w:r w:rsidR="004259CE" w:rsidRPr="004259CE">
        <w:rPr>
          <w:rFonts w:ascii="Arial" w:hAnsi="Arial" w:cs="Arial"/>
          <w:sz w:val="21"/>
          <w:szCs w:val="21"/>
        </w:rPr>
        <w:t>409</w:t>
      </w:r>
      <w:r w:rsidR="004259CE">
        <w:rPr>
          <w:rFonts w:ascii="Arial" w:hAnsi="Arial" w:cs="Arial"/>
          <w:sz w:val="21"/>
          <w:szCs w:val="21"/>
        </w:rPr>
        <w:t xml:space="preserve"> ha). Las plantaciones de chopo son </w:t>
      </w:r>
      <w:r w:rsidR="004259CE" w:rsidRPr="004259CE">
        <w:rPr>
          <w:rFonts w:ascii="Arial" w:hAnsi="Arial" w:cs="Arial"/>
          <w:sz w:val="21"/>
          <w:szCs w:val="21"/>
        </w:rPr>
        <w:t>un recurso forestal de gran importancia que llega a suponer en algunas provincias más del 50% de las cortas de madera y una gran parte del valor de las mismas.</w:t>
      </w:r>
      <w:r w:rsidR="00340E74">
        <w:rPr>
          <w:rFonts w:ascii="Arial" w:hAnsi="Arial" w:cs="Arial"/>
          <w:sz w:val="21"/>
          <w:szCs w:val="21"/>
        </w:rPr>
        <w:t xml:space="preserve"> No obstante</w:t>
      </w:r>
      <w:r w:rsidR="00F80C87">
        <w:rPr>
          <w:rFonts w:ascii="Arial" w:hAnsi="Arial" w:cs="Arial"/>
          <w:sz w:val="21"/>
          <w:szCs w:val="21"/>
        </w:rPr>
        <w:t xml:space="preserve">, </w:t>
      </w:r>
      <w:r w:rsidR="00340E74">
        <w:rPr>
          <w:rFonts w:ascii="Arial" w:hAnsi="Arial" w:cs="Arial"/>
          <w:sz w:val="21"/>
          <w:szCs w:val="21"/>
        </w:rPr>
        <w:t>comparadas</w:t>
      </w:r>
      <w:r w:rsidR="00F80C87" w:rsidRPr="001A1430">
        <w:rPr>
          <w:rFonts w:ascii="Arial" w:hAnsi="Arial" w:cs="Arial"/>
          <w:sz w:val="21"/>
          <w:szCs w:val="21"/>
        </w:rPr>
        <w:t xml:space="preserve"> con otras masas arboladas en la </w:t>
      </w:r>
      <w:r w:rsidR="00F80C87" w:rsidRPr="001A1430">
        <w:rPr>
          <w:rFonts w:ascii="Arial" w:hAnsi="Arial" w:cs="Arial"/>
          <w:sz w:val="21"/>
          <w:szCs w:val="21"/>
        </w:rPr>
        <w:lastRenderedPageBreak/>
        <w:t xml:space="preserve">Comunidad, las choperas de producción no alcanzan el 3% de la superficie forestal arbolada regional; pese a ello, producen más del 20% de la madera cortada anualmente y más del 40% de los </w:t>
      </w:r>
      <w:r w:rsidR="00F80C87" w:rsidRPr="00B82064">
        <w:rPr>
          <w:rFonts w:ascii="Arial" w:hAnsi="Arial" w:cs="Arial"/>
          <w:sz w:val="21"/>
          <w:szCs w:val="21"/>
        </w:rPr>
        <w:t>ingresos por ventas de madera.</w:t>
      </w:r>
    </w:p>
    <w:p w:rsidR="00BA1E95" w:rsidRDefault="00340E74" w:rsidP="00B82064">
      <w:pPr>
        <w:spacing w:before="240"/>
        <w:jc w:val="both"/>
        <w:rPr>
          <w:rFonts w:ascii="Arial" w:hAnsi="Arial" w:cs="Arial"/>
          <w:color w:val="000000"/>
          <w:sz w:val="21"/>
          <w:szCs w:val="21"/>
        </w:rPr>
      </w:pPr>
      <w:r w:rsidRPr="00B82064">
        <w:rPr>
          <w:rFonts w:ascii="Arial" w:hAnsi="Arial" w:cs="Arial"/>
          <w:sz w:val="21"/>
          <w:szCs w:val="21"/>
        </w:rPr>
        <w:t>Los propietarios de terrenos forestales aptos para plantaciones de chopo podrán conocer est</w:t>
      </w:r>
      <w:r w:rsidR="00B82064">
        <w:rPr>
          <w:rFonts w:ascii="Arial" w:hAnsi="Arial" w:cs="Arial"/>
          <w:sz w:val="21"/>
          <w:szCs w:val="21"/>
        </w:rPr>
        <w:t>a</w:t>
      </w:r>
      <w:r w:rsidRPr="00B82064">
        <w:rPr>
          <w:rFonts w:ascii="Arial" w:hAnsi="Arial" w:cs="Arial"/>
          <w:sz w:val="21"/>
          <w:szCs w:val="21"/>
        </w:rPr>
        <w:t>s y otras cuestiones el próximo 19 de octubre en la mesa ‘</w:t>
      </w:r>
      <w:r w:rsidRPr="00B82064">
        <w:rPr>
          <w:rFonts w:ascii="Arial" w:hAnsi="Arial" w:cs="Arial"/>
          <w:i/>
          <w:sz w:val="21"/>
          <w:szCs w:val="21"/>
        </w:rPr>
        <w:t>Políticas, Gestión sostenible y Productividad: Gestión, Ayudas, Rentabilidad y Fiscalidad</w:t>
      </w:r>
      <w:r w:rsidRPr="00B82064">
        <w:rPr>
          <w:rFonts w:ascii="Arial" w:hAnsi="Arial" w:cs="Arial"/>
          <w:sz w:val="21"/>
          <w:szCs w:val="21"/>
        </w:rPr>
        <w:t xml:space="preserve">’ del II Simposio Nacional del Chopo, </w:t>
      </w:r>
      <w:r w:rsidR="00B82064">
        <w:rPr>
          <w:rFonts w:ascii="Arial" w:hAnsi="Arial" w:cs="Arial"/>
          <w:sz w:val="21"/>
          <w:szCs w:val="21"/>
        </w:rPr>
        <w:t>que se abrirá con la ponencia invitada de</w:t>
      </w:r>
      <w:r w:rsidRPr="00B82064">
        <w:rPr>
          <w:rFonts w:ascii="Arial" w:hAnsi="Arial" w:cs="Arial"/>
          <w:sz w:val="21"/>
          <w:szCs w:val="21"/>
        </w:rPr>
        <w:t xml:space="preserve"> la gerente de la Confederación de Organizaciones de Selvicultores de España (COSE), Patricia Gómez, </w:t>
      </w:r>
      <w:r w:rsidR="00B82064">
        <w:rPr>
          <w:rFonts w:ascii="Arial" w:hAnsi="Arial" w:cs="Arial"/>
          <w:sz w:val="21"/>
          <w:szCs w:val="21"/>
        </w:rPr>
        <w:t xml:space="preserve">quien destacará el papel de los propietarios forestales privados como dinamizadores del sector productivo. Desde COSE subrayan la importancia del </w:t>
      </w:r>
      <w:r w:rsidR="001250A5">
        <w:rPr>
          <w:rFonts w:ascii="Arial" w:hAnsi="Arial" w:cs="Arial"/>
          <w:color w:val="000000"/>
          <w:sz w:val="21"/>
          <w:szCs w:val="21"/>
        </w:rPr>
        <w:t>cultivo del chopo tanto para la economía nacional (30 millones de euros/año de venta de madera chopo y 44.000 empleos) como su relevante contribución ambiental</w:t>
      </w:r>
      <w:r w:rsidR="001250A5">
        <w:rPr>
          <w:rFonts w:ascii="Arial" w:hAnsi="Arial" w:cs="Arial"/>
          <w:sz w:val="21"/>
          <w:szCs w:val="21"/>
        </w:rPr>
        <w:t>. Todo ello hace necesario, a juicio de COSE,</w:t>
      </w:r>
      <w:r w:rsidR="00BA1E95">
        <w:rPr>
          <w:rFonts w:ascii="Arial" w:hAnsi="Arial" w:cs="Arial"/>
          <w:sz w:val="21"/>
          <w:szCs w:val="21"/>
        </w:rPr>
        <w:t xml:space="preserve"> </w:t>
      </w:r>
      <w:r w:rsidR="001250A5">
        <w:rPr>
          <w:rFonts w:ascii="Arial" w:hAnsi="Arial" w:cs="Arial"/>
          <w:sz w:val="21"/>
          <w:szCs w:val="21"/>
        </w:rPr>
        <w:t xml:space="preserve">abordar </w:t>
      </w:r>
      <w:r w:rsidR="00BA1E95">
        <w:rPr>
          <w:rFonts w:ascii="Arial" w:hAnsi="Arial" w:cs="Arial"/>
          <w:sz w:val="21"/>
          <w:szCs w:val="21"/>
        </w:rPr>
        <w:t xml:space="preserve">políticas forestales con medidas </w:t>
      </w:r>
      <w:r w:rsidR="00BA1E95">
        <w:rPr>
          <w:rFonts w:ascii="Arial" w:hAnsi="Arial" w:cs="Arial"/>
          <w:color w:val="000000"/>
          <w:sz w:val="21"/>
          <w:szCs w:val="21"/>
        </w:rPr>
        <w:t>específicas de fomento y una fiscalidad incentivadora como fórmulas de impulso a la producción de plantaciones, entre otras actuaciones para fomentar el cultivo.</w:t>
      </w:r>
    </w:p>
    <w:p w:rsidR="00BA1E95" w:rsidRDefault="00BA1E95" w:rsidP="00BA1E95">
      <w:pPr>
        <w:spacing w:before="2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programa más detallado del II Simposio Nacional del Chopo puede consultarse en la web del evento (</w:t>
      </w:r>
      <w:hyperlink r:id="rId8" w:history="1">
        <w:r w:rsidRPr="00756108">
          <w:rPr>
            <w:rStyle w:val="Hipervnculo"/>
            <w:rFonts w:ascii="Arial" w:hAnsi="Arial" w:cs="Arial"/>
            <w:sz w:val="21"/>
            <w:szCs w:val="21"/>
          </w:rPr>
          <w:t>www.simposiodelchopo.es</w:t>
        </w:r>
      </w:hyperlink>
      <w:r>
        <w:rPr>
          <w:rFonts w:ascii="Arial" w:hAnsi="Arial" w:cs="Arial"/>
          <w:color w:val="000000"/>
          <w:sz w:val="21"/>
          <w:szCs w:val="21"/>
        </w:rPr>
        <w:t>), desde donde también es posible formalizar la inscripción requerida para participar en este encuentro sectorial.</w:t>
      </w:r>
    </w:p>
    <w:p w:rsidR="00BA1E95" w:rsidRDefault="00BA1E95" w:rsidP="00BA1E95">
      <w:pPr>
        <w:spacing w:before="240"/>
        <w:jc w:val="both"/>
        <w:rPr>
          <w:rFonts w:ascii="Arial" w:hAnsi="Arial" w:cs="Arial"/>
          <w:color w:val="000000"/>
          <w:sz w:val="21"/>
          <w:szCs w:val="21"/>
        </w:rPr>
      </w:pPr>
    </w:p>
    <w:p w:rsidR="00BA1E95" w:rsidRDefault="00BA1E95" w:rsidP="00BA1E95">
      <w:pPr>
        <w:spacing w:before="24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BA1E95" w:rsidSect="00B55E5E">
      <w:headerReference w:type="default" r:id="rId9"/>
      <w:pgSz w:w="11906" w:h="16838"/>
      <w:pgMar w:top="226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26" w:rsidRDefault="00DC7526" w:rsidP="00666301">
      <w:pPr>
        <w:spacing w:after="0" w:line="240" w:lineRule="auto"/>
      </w:pPr>
      <w:r>
        <w:separator/>
      </w:r>
    </w:p>
  </w:endnote>
  <w:endnote w:type="continuationSeparator" w:id="0">
    <w:p w:rsidR="00DC7526" w:rsidRDefault="00DC7526" w:rsidP="006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26" w:rsidRDefault="00DC7526" w:rsidP="00666301">
      <w:pPr>
        <w:spacing w:after="0" w:line="240" w:lineRule="auto"/>
      </w:pPr>
      <w:r>
        <w:separator/>
      </w:r>
    </w:p>
  </w:footnote>
  <w:footnote w:type="continuationSeparator" w:id="0">
    <w:p w:rsidR="00DC7526" w:rsidRDefault="00DC7526" w:rsidP="0066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01" w:rsidRDefault="00666301" w:rsidP="00666301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8C5E23C" wp14:editId="1A84E1D4">
          <wp:extent cx="3158813" cy="7334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PU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632" cy="73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6EB"/>
    <w:multiLevelType w:val="hybridMultilevel"/>
    <w:tmpl w:val="6ECE2DDA"/>
    <w:lvl w:ilvl="0" w:tplc="0C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78C18FF"/>
    <w:multiLevelType w:val="hybridMultilevel"/>
    <w:tmpl w:val="A0824550"/>
    <w:lvl w:ilvl="0" w:tplc="8C0E81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1B68"/>
    <w:multiLevelType w:val="hybridMultilevel"/>
    <w:tmpl w:val="F0C66874"/>
    <w:lvl w:ilvl="0" w:tplc="6340F2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D0301"/>
    <w:multiLevelType w:val="hybridMultilevel"/>
    <w:tmpl w:val="DCC03DFA"/>
    <w:lvl w:ilvl="0" w:tplc="2C96F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A4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0D1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66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45B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2C1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EBE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2DC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6CF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B90E73"/>
    <w:multiLevelType w:val="multilevel"/>
    <w:tmpl w:val="F0B4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C1E5C"/>
    <w:multiLevelType w:val="hybridMultilevel"/>
    <w:tmpl w:val="B8007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3C70"/>
    <w:multiLevelType w:val="hybridMultilevel"/>
    <w:tmpl w:val="CF7EB39A"/>
    <w:lvl w:ilvl="0" w:tplc="B5A03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E8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A9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D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64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ED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CA0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7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6E7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8A4BEF"/>
    <w:multiLevelType w:val="hybridMultilevel"/>
    <w:tmpl w:val="A5D8B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0725C"/>
    <w:multiLevelType w:val="multilevel"/>
    <w:tmpl w:val="0788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42B0B"/>
    <w:multiLevelType w:val="multilevel"/>
    <w:tmpl w:val="0E46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11A48"/>
    <w:multiLevelType w:val="multilevel"/>
    <w:tmpl w:val="D4F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969C9"/>
    <w:multiLevelType w:val="multilevel"/>
    <w:tmpl w:val="356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17625"/>
    <w:multiLevelType w:val="multilevel"/>
    <w:tmpl w:val="579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9262E"/>
    <w:multiLevelType w:val="hybridMultilevel"/>
    <w:tmpl w:val="6686C412"/>
    <w:lvl w:ilvl="0" w:tplc="41B4F1A2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61E97455"/>
    <w:multiLevelType w:val="hybridMultilevel"/>
    <w:tmpl w:val="84C60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D6CDD"/>
    <w:multiLevelType w:val="hybridMultilevel"/>
    <w:tmpl w:val="A9CA2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7D8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C3"/>
    <w:rsid w:val="0000742B"/>
    <w:rsid w:val="000531A3"/>
    <w:rsid w:val="000878AB"/>
    <w:rsid w:val="000942F4"/>
    <w:rsid w:val="000B3DAA"/>
    <w:rsid w:val="000C1A6C"/>
    <w:rsid w:val="00115AA1"/>
    <w:rsid w:val="001250A5"/>
    <w:rsid w:val="00132770"/>
    <w:rsid w:val="0015794E"/>
    <w:rsid w:val="001911E9"/>
    <w:rsid w:val="001A1430"/>
    <w:rsid w:val="00224040"/>
    <w:rsid w:val="002C57B3"/>
    <w:rsid w:val="002F5DA8"/>
    <w:rsid w:val="0031162D"/>
    <w:rsid w:val="0031380C"/>
    <w:rsid w:val="00340E74"/>
    <w:rsid w:val="003A55D4"/>
    <w:rsid w:val="003C118E"/>
    <w:rsid w:val="004259CE"/>
    <w:rsid w:val="004416AB"/>
    <w:rsid w:val="00443399"/>
    <w:rsid w:val="00446D87"/>
    <w:rsid w:val="00470263"/>
    <w:rsid w:val="004854EF"/>
    <w:rsid w:val="004E00F5"/>
    <w:rsid w:val="004E0ED5"/>
    <w:rsid w:val="004F5493"/>
    <w:rsid w:val="0052639C"/>
    <w:rsid w:val="00594158"/>
    <w:rsid w:val="005C459A"/>
    <w:rsid w:val="005D0F44"/>
    <w:rsid w:val="0061286D"/>
    <w:rsid w:val="00632D83"/>
    <w:rsid w:val="00666301"/>
    <w:rsid w:val="00671FD4"/>
    <w:rsid w:val="00705184"/>
    <w:rsid w:val="0078715A"/>
    <w:rsid w:val="007C636F"/>
    <w:rsid w:val="00823CE6"/>
    <w:rsid w:val="00827852"/>
    <w:rsid w:val="008525DE"/>
    <w:rsid w:val="00860BF7"/>
    <w:rsid w:val="008800E5"/>
    <w:rsid w:val="00896F7D"/>
    <w:rsid w:val="008B14BC"/>
    <w:rsid w:val="008B57F2"/>
    <w:rsid w:val="008E2EA2"/>
    <w:rsid w:val="008F5557"/>
    <w:rsid w:val="009013E7"/>
    <w:rsid w:val="0094707C"/>
    <w:rsid w:val="00950C26"/>
    <w:rsid w:val="009510F7"/>
    <w:rsid w:val="009A6864"/>
    <w:rsid w:val="009C13B2"/>
    <w:rsid w:val="00A106DB"/>
    <w:rsid w:val="00A658F5"/>
    <w:rsid w:val="00A774C8"/>
    <w:rsid w:val="00AB1F42"/>
    <w:rsid w:val="00AE5DCE"/>
    <w:rsid w:val="00B3664B"/>
    <w:rsid w:val="00B45BF6"/>
    <w:rsid w:val="00B50BAF"/>
    <w:rsid w:val="00B55E5E"/>
    <w:rsid w:val="00B6247E"/>
    <w:rsid w:val="00B62510"/>
    <w:rsid w:val="00B82064"/>
    <w:rsid w:val="00BA1E95"/>
    <w:rsid w:val="00BB10E4"/>
    <w:rsid w:val="00BC69D0"/>
    <w:rsid w:val="00BF5322"/>
    <w:rsid w:val="00C20FE7"/>
    <w:rsid w:val="00C469C3"/>
    <w:rsid w:val="00C67C19"/>
    <w:rsid w:val="00CA1414"/>
    <w:rsid w:val="00CB18A8"/>
    <w:rsid w:val="00CB556E"/>
    <w:rsid w:val="00CC15FE"/>
    <w:rsid w:val="00CE7C20"/>
    <w:rsid w:val="00CF234C"/>
    <w:rsid w:val="00D41BB6"/>
    <w:rsid w:val="00DA69FD"/>
    <w:rsid w:val="00DC16A7"/>
    <w:rsid w:val="00DC5503"/>
    <w:rsid w:val="00DC7526"/>
    <w:rsid w:val="00DD3428"/>
    <w:rsid w:val="00E30199"/>
    <w:rsid w:val="00E55EAA"/>
    <w:rsid w:val="00EB4656"/>
    <w:rsid w:val="00EC6577"/>
    <w:rsid w:val="00EE0341"/>
    <w:rsid w:val="00F270DB"/>
    <w:rsid w:val="00F27596"/>
    <w:rsid w:val="00F51AC1"/>
    <w:rsid w:val="00F65FB4"/>
    <w:rsid w:val="00F670F6"/>
    <w:rsid w:val="00F7293F"/>
    <w:rsid w:val="00F80C87"/>
    <w:rsid w:val="00F95AC5"/>
    <w:rsid w:val="00F974A3"/>
    <w:rsid w:val="00FC58E4"/>
    <w:rsid w:val="00FF2963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5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E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2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E2EA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8715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66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301"/>
  </w:style>
  <w:style w:type="paragraph" w:styleId="Piedepgina">
    <w:name w:val="footer"/>
    <w:basedOn w:val="Normal"/>
    <w:link w:val="PiedepginaCar"/>
    <w:uiPriority w:val="99"/>
    <w:unhideWhenUsed/>
    <w:rsid w:val="00666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301"/>
  </w:style>
  <w:style w:type="paragraph" w:styleId="Textodeglobo">
    <w:name w:val="Balloon Text"/>
    <w:basedOn w:val="Normal"/>
    <w:link w:val="TextodegloboCar"/>
    <w:uiPriority w:val="99"/>
    <w:semiHidden/>
    <w:unhideWhenUsed/>
    <w:rsid w:val="0066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0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F5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F5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F5DA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F5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F5DA8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CF234C"/>
    <w:rPr>
      <w:i/>
      <w:iCs/>
    </w:rPr>
  </w:style>
  <w:style w:type="paragraph" w:customStyle="1" w:styleId="Default">
    <w:name w:val="Default"/>
    <w:rsid w:val="00A658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E5DC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BA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B3D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0E4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0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2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5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E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2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9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E2EA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8715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66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301"/>
  </w:style>
  <w:style w:type="paragraph" w:styleId="Piedepgina">
    <w:name w:val="footer"/>
    <w:basedOn w:val="Normal"/>
    <w:link w:val="PiedepginaCar"/>
    <w:uiPriority w:val="99"/>
    <w:unhideWhenUsed/>
    <w:rsid w:val="00666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301"/>
  </w:style>
  <w:style w:type="paragraph" w:styleId="Textodeglobo">
    <w:name w:val="Balloon Text"/>
    <w:basedOn w:val="Normal"/>
    <w:link w:val="TextodegloboCar"/>
    <w:uiPriority w:val="99"/>
    <w:semiHidden/>
    <w:unhideWhenUsed/>
    <w:rsid w:val="0066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30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F5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F5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F5DA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F5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F5DA8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CF234C"/>
    <w:rPr>
      <w:i/>
      <w:iCs/>
    </w:rPr>
  </w:style>
  <w:style w:type="paragraph" w:customStyle="1" w:styleId="Default">
    <w:name w:val="Default"/>
    <w:rsid w:val="00A658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E5DC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BA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B3D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0E4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0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2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637">
          <w:marLeft w:val="0"/>
          <w:marRight w:val="0"/>
          <w:marTop w:val="0"/>
          <w:marBottom w:val="0"/>
          <w:divBdr>
            <w:top w:val="none" w:sz="0" w:space="6" w:color="6F8D0F"/>
            <w:left w:val="none" w:sz="0" w:space="11" w:color="6F8D0F"/>
            <w:bottom w:val="none" w:sz="0" w:space="0" w:color="auto"/>
            <w:right w:val="none" w:sz="0" w:space="11" w:color="6F8D0F"/>
          </w:divBdr>
        </w:div>
        <w:div w:id="144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5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single" w:sz="6" w:space="23" w:color="6F8D0F"/>
                <w:right w:val="none" w:sz="0" w:space="0" w:color="auto"/>
              </w:divBdr>
              <w:divsChild>
                <w:div w:id="12231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7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329">
              <w:marLeft w:val="0"/>
              <w:marRight w:val="0"/>
              <w:marTop w:val="0"/>
              <w:marBottom w:val="0"/>
              <w:divBdr>
                <w:top w:val="single" w:sz="12" w:space="0" w:color="6F8D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7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4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osiodelchopo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Redondo</dc:creator>
  <cp:lastModifiedBy>pc1</cp:lastModifiedBy>
  <cp:revision>2</cp:revision>
  <cp:lastPrinted>2018-03-26T08:49:00Z</cp:lastPrinted>
  <dcterms:created xsi:type="dcterms:W3CDTF">2018-10-09T15:23:00Z</dcterms:created>
  <dcterms:modified xsi:type="dcterms:W3CDTF">2018-10-09T15:23:00Z</dcterms:modified>
</cp:coreProperties>
</file>