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A89" w:rsidRPr="00462519" w:rsidRDefault="00176D92" w:rsidP="00555D6E">
      <w:pPr>
        <w:shd w:val="clear" w:color="auto" w:fill="FCFCFC"/>
        <w:spacing w:before="180" w:after="150" w:line="240" w:lineRule="auto"/>
        <w:jc w:val="both"/>
        <w:outlineLvl w:val="0"/>
        <w:rPr>
          <w:rFonts w:eastAsia="Times New Roman" w:cstheme="minorHAnsi"/>
          <w:b/>
          <w:bCs/>
          <w:kern w:val="36"/>
          <w:sz w:val="24"/>
          <w:szCs w:val="24"/>
          <w:lang w:eastAsia="es-ES"/>
        </w:rPr>
      </w:pPr>
      <w:r w:rsidRPr="00462519">
        <w:rPr>
          <w:rFonts w:eastAsia="Times New Roman" w:cstheme="minorHAnsi"/>
          <w:b/>
          <w:bCs/>
          <w:noProof/>
          <w:kern w:val="36"/>
          <w:sz w:val="24"/>
          <w:szCs w:val="24"/>
          <w:lang w:eastAsia="es-ES"/>
        </w:rPr>
        <w:drawing>
          <wp:inline distT="0" distB="0" distL="0" distR="0">
            <wp:extent cx="1476375" cy="1600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fcyle_logo.jpg"/>
                    <pic:cNvPicPr/>
                  </pic:nvPicPr>
                  <pic:blipFill>
                    <a:blip r:embed="rId4">
                      <a:extLst>
                        <a:ext uri="{28A0092B-C50C-407E-A947-70E740481C1C}">
                          <a14:useLocalDpi xmlns:a14="http://schemas.microsoft.com/office/drawing/2010/main" val="0"/>
                        </a:ext>
                      </a:extLst>
                    </a:blip>
                    <a:stretch>
                      <a:fillRect/>
                    </a:stretch>
                  </pic:blipFill>
                  <pic:spPr>
                    <a:xfrm>
                      <a:off x="0" y="0"/>
                      <a:ext cx="1476375" cy="1600200"/>
                    </a:xfrm>
                    <a:prstGeom prst="rect">
                      <a:avLst/>
                    </a:prstGeom>
                  </pic:spPr>
                </pic:pic>
              </a:graphicData>
            </a:graphic>
          </wp:inline>
        </w:drawing>
      </w:r>
    </w:p>
    <w:p w:rsidR="00AD2A89" w:rsidRPr="00462519" w:rsidRDefault="00AD2A89" w:rsidP="00555D6E">
      <w:pPr>
        <w:shd w:val="clear" w:color="auto" w:fill="FCFCFC"/>
        <w:spacing w:before="180" w:after="150" w:line="240" w:lineRule="auto"/>
        <w:jc w:val="both"/>
        <w:outlineLvl w:val="0"/>
        <w:rPr>
          <w:rFonts w:eastAsia="Times New Roman" w:cstheme="minorHAnsi"/>
          <w:b/>
          <w:bCs/>
          <w:kern w:val="36"/>
          <w:sz w:val="24"/>
          <w:szCs w:val="24"/>
          <w:lang w:eastAsia="es-ES"/>
        </w:rPr>
      </w:pPr>
    </w:p>
    <w:p w:rsidR="00BF438D" w:rsidRPr="00462519" w:rsidRDefault="00BF438D" w:rsidP="00555D6E">
      <w:pPr>
        <w:shd w:val="clear" w:color="auto" w:fill="FCFCFC"/>
        <w:spacing w:before="180" w:after="150" w:line="240" w:lineRule="auto"/>
        <w:jc w:val="both"/>
        <w:outlineLvl w:val="0"/>
        <w:rPr>
          <w:rFonts w:eastAsia="Times New Roman" w:cstheme="minorHAnsi"/>
          <w:b/>
          <w:bCs/>
          <w:kern w:val="36"/>
          <w:sz w:val="24"/>
          <w:szCs w:val="24"/>
          <w:lang w:eastAsia="es-ES"/>
        </w:rPr>
      </w:pPr>
      <w:r w:rsidRPr="00462519">
        <w:rPr>
          <w:rFonts w:eastAsia="Times New Roman" w:cstheme="minorHAnsi"/>
          <w:b/>
          <w:bCs/>
          <w:kern w:val="36"/>
          <w:sz w:val="24"/>
          <w:szCs w:val="24"/>
          <w:lang w:eastAsia="es-ES"/>
        </w:rPr>
        <w:t xml:space="preserve">La Unión Europea reconoce la singularidad de la dehesa con una sentencia que anula una sanción de </w:t>
      </w:r>
      <w:r w:rsidR="00176D92" w:rsidRPr="00462519">
        <w:rPr>
          <w:rFonts w:eastAsia="Times New Roman" w:cstheme="minorHAnsi"/>
          <w:b/>
          <w:bCs/>
          <w:kern w:val="36"/>
          <w:sz w:val="24"/>
          <w:szCs w:val="24"/>
          <w:lang w:eastAsia="es-ES"/>
        </w:rPr>
        <w:t>263</w:t>
      </w:r>
      <w:r w:rsidRPr="00462519">
        <w:rPr>
          <w:rFonts w:eastAsia="Times New Roman" w:cstheme="minorHAnsi"/>
          <w:b/>
          <w:bCs/>
          <w:kern w:val="36"/>
          <w:sz w:val="24"/>
          <w:szCs w:val="24"/>
          <w:lang w:eastAsia="es-ES"/>
        </w:rPr>
        <w:t xml:space="preserve"> millones a </w:t>
      </w:r>
      <w:r w:rsidR="00176D92" w:rsidRPr="00462519">
        <w:rPr>
          <w:rFonts w:eastAsia="Times New Roman" w:cstheme="minorHAnsi"/>
          <w:b/>
          <w:bCs/>
          <w:kern w:val="36"/>
          <w:sz w:val="24"/>
          <w:szCs w:val="24"/>
          <w:lang w:eastAsia="es-ES"/>
        </w:rPr>
        <w:t>España</w:t>
      </w:r>
    </w:p>
    <w:p w:rsidR="00BF438D" w:rsidRPr="00462519" w:rsidRDefault="00176D92" w:rsidP="00555D6E">
      <w:pPr>
        <w:shd w:val="clear" w:color="auto" w:fill="FCFCFC"/>
        <w:spacing w:before="180" w:after="150" w:line="240" w:lineRule="auto"/>
        <w:jc w:val="both"/>
        <w:outlineLvl w:val="0"/>
        <w:rPr>
          <w:rFonts w:eastAsia="Times New Roman" w:cstheme="minorHAnsi"/>
          <w:b/>
          <w:bCs/>
          <w:kern w:val="36"/>
          <w:sz w:val="40"/>
          <w:szCs w:val="40"/>
          <w:lang w:eastAsia="es-ES"/>
        </w:rPr>
      </w:pPr>
      <w:proofErr w:type="spellStart"/>
      <w:r w:rsidRPr="00462519">
        <w:rPr>
          <w:rFonts w:eastAsia="Times New Roman" w:cstheme="minorHAnsi"/>
          <w:b/>
          <w:bCs/>
          <w:kern w:val="36"/>
          <w:sz w:val="40"/>
          <w:szCs w:val="40"/>
          <w:lang w:eastAsia="es-ES"/>
        </w:rPr>
        <w:t>Fafcyle</w:t>
      </w:r>
      <w:proofErr w:type="spellEnd"/>
      <w:r w:rsidRPr="00462519">
        <w:rPr>
          <w:rFonts w:eastAsia="Times New Roman" w:cstheme="minorHAnsi"/>
          <w:b/>
          <w:bCs/>
          <w:kern w:val="36"/>
          <w:sz w:val="40"/>
          <w:szCs w:val="40"/>
          <w:lang w:eastAsia="es-ES"/>
        </w:rPr>
        <w:t xml:space="preserve"> considera histórica la </w:t>
      </w:r>
      <w:r w:rsidR="00BF438D" w:rsidRPr="00462519">
        <w:rPr>
          <w:rFonts w:eastAsia="Times New Roman" w:cstheme="minorHAnsi"/>
          <w:b/>
          <w:bCs/>
          <w:kern w:val="36"/>
          <w:sz w:val="40"/>
          <w:szCs w:val="40"/>
          <w:lang w:eastAsia="es-ES"/>
        </w:rPr>
        <w:t xml:space="preserve">sentencia europea tras años de lucha por un trato justo para la dehesa </w:t>
      </w:r>
      <w:r w:rsidRPr="00462519">
        <w:rPr>
          <w:rFonts w:eastAsia="Times New Roman" w:cstheme="minorHAnsi"/>
          <w:b/>
          <w:bCs/>
          <w:kern w:val="36"/>
          <w:sz w:val="40"/>
          <w:szCs w:val="40"/>
          <w:lang w:eastAsia="es-ES"/>
        </w:rPr>
        <w:t>castellana</w:t>
      </w:r>
    </w:p>
    <w:p w:rsidR="00BF438D" w:rsidRPr="00462519" w:rsidRDefault="00BF438D" w:rsidP="00555D6E">
      <w:pPr>
        <w:spacing w:after="0" w:line="240" w:lineRule="auto"/>
        <w:jc w:val="both"/>
        <w:rPr>
          <w:rFonts w:eastAsia="Times New Roman" w:cstheme="minorHAnsi"/>
          <w:sz w:val="40"/>
          <w:szCs w:val="40"/>
          <w:lang w:eastAsia="es-ES"/>
        </w:rPr>
      </w:pPr>
    </w:p>
    <w:p w:rsidR="00BF438D" w:rsidRPr="00462519" w:rsidRDefault="00462519" w:rsidP="00555D6E">
      <w:pPr>
        <w:shd w:val="clear" w:color="auto" w:fill="FCFCFC"/>
        <w:spacing w:after="150" w:line="240" w:lineRule="auto"/>
        <w:jc w:val="both"/>
        <w:rPr>
          <w:rFonts w:eastAsia="Times New Roman" w:cstheme="minorHAnsi"/>
          <w:sz w:val="24"/>
          <w:szCs w:val="24"/>
          <w:lang w:eastAsia="es-ES"/>
        </w:rPr>
      </w:pPr>
      <w:r>
        <w:rPr>
          <w:rFonts w:eastAsia="Times New Roman" w:cstheme="minorHAnsi"/>
          <w:b/>
          <w:bCs/>
          <w:sz w:val="24"/>
          <w:szCs w:val="24"/>
          <w:lang w:eastAsia="es-ES"/>
        </w:rPr>
        <w:t xml:space="preserve">Zamora, 30 de noviembre de 2018. </w:t>
      </w:r>
      <w:r w:rsidR="00176D92" w:rsidRPr="00462519">
        <w:rPr>
          <w:rFonts w:eastAsia="Times New Roman" w:cstheme="minorHAnsi"/>
          <w:b/>
          <w:bCs/>
          <w:sz w:val="24"/>
          <w:szCs w:val="24"/>
          <w:lang w:eastAsia="es-ES"/>
        </w:rPr>
        <w:t xml:space="preserve">El </w:t>
      </w:r>
      <w:r w:rsidR="00BF438D" w:rsidRPr="00462519">
        <w:rPr>
          <w:rFonts w:eastAsia="Times New Roman" w:cstheme="minorHAnsi"/>
          <w:b/>
          <w:bCs/>
          <w:sz w:val="24"/>
          <w:szCs w:val="24"/>
          <w:lang w:eastAsia="es-ES"/>
        </w:rPr>
        <w:t>president</w:t>
      </w:r>
      <w:r w:rsidR="00176D92" w:rsidRPr="00462519">
        <w:rPr>
          <w:rFonts w:eastAsia="Times New Roman" w:cstheme="minorHAnsi"/>
          <w:b/>
          <w:bCs/>
          <w:sz w:val="24"/>
          <w:szCs w:val="24"/>
          <w:lang w:eastAsia="es-ES"/>
        </w:rPr>
        <w:t>e</w:t>
      </w:r>
      <w:r w:rsidR="00BF438D" w:rsidRPr="00462519">
        <w:rPr>
          <w:rFonts w:eastAsia="Times New Roman" w:cstheme="minorHAnsi"/>
          <w:b/>
          <w:bCs/>
          <w:sz w:val="24"/>
          <w:szCs w:val="24"/>
          <w:lang w:eastAsia="es-ES"/>
        </w:rPr>
        <w:t xml:space="preserve"> de </w:t>
      </w:r>
      <w:proofErr w:type="spellStart"/>
      <w:r w:rsidR="00176D92" w:rsidRPr="00462519">
        <w:rPr>
          <w:rFonts w:eastAsia="Times New Roman" w:cstheme="minorHAnsi"/>
          <w:b/>
          <w:bCs/>
          <w:sz w:val="24"/>
          <w:szCs w:val="24"/>
          <w:lang w:eastAsia="es-ES"/>
        </w:rPr>
        <w:t>Fafcyle</w:t>
      </w:r>
      <w:proofErr w:type="spellEnd"/>
      <w:r w:rsidR="00BF438D" w:rsidRPr="00462519">
        <w:rPr>
          <w:rFonts w:eastAsia="Times New Roman" w:cstheme="minorHAnsi"/>
          <w:b/>
          <w:bCs/>
          <w:sz w:val="24"/>
          <w:szCs w:val="24"/>
          <w:lang w:eastAsia="es-ES"/>
        </w:rPr>
        <w:t>,</w:t>
      </w:r>
      <w:r w:rsidR="00176D92" w:rsidRPr="00462519">
        <w:rPr>
          <w:rFonts w:eastAsia="Times New Roman" w:cstheme="minorHAnsi"/>
          <w:b/>
          <w:bCs/>
          <w:sz w:val="24"/>
          <w:szCs w:val="24"/>
          <w:lang w:eastAsia="es-ES"/>
        </w:rPr>
        <w:t xml:space="preserve"> Federación de Asociaciones Forestales de Castilla y L</w:t>
      </w:r>
      <w:r>
        <w:rPr>
          <w:rFonts w:eastAsia="Times New Roman" w:cstheme="minorHAnsi"/>
          <w:b/>
          <w:bCs/>
          <w:sz w:val="24"/>
          <w:szCs w:val="24"/>
          <w:lang w:eastAsia="es-ES"/>
        </w:rPr>
        <w:t>eó</w:t>
      </w:r>
      <w:r w:rsidR="00176D92" w:rsidRPr="00462519">
        <w:rPr>
          <w:rFonts w:eastAsia="Times New Roman" w:cstheme="minorHAnsi"/>
          <w:b/>
          <w:bCs/>
          <w:sz w:val="24"/>
          <w:szCs w:val="24"/>
          <w:lang w:eastAsia="es-ES"/>
        </w:rPr>
        <w:t>n,</w:t>
      </w:r>
      <w:r w:rsidR="00BF438D" w:rsidRPr="00462519">
        <w:rPr>
          <w:rFonts w:eastAsia="Times New Roman" w:cstheme="minorHAnsi"/>
          <w:b/>
          <w:bCs/>
          <w:sz w:val="24"/>
          <w:szCs w:val="24"/>
          <w:lang w:eastAsia="es-ES"/>
        </w:rPr>
        <w:t xml:space="preserve"> </w:t>
      </w:r>
      <w:r w:rsidR="00176D92" w:rsidRPr="00462519">
        <w:rPr>
          <w:rFonts w:eastAsia="Times New Roman" w:cstheme="minorHAnsi"/>
          <w:b/>
          <w:bCs/>
          <w:sz w:val="24"/>
          <w:szCs w:val="24"/>
          <w:lang w:eastAsia="es-ES"/>
        </w:rPr>
        <w:t>Jesús Castaño Nieto</w:t>
      </w:r>
      <w:r w:rsidR="00BF438D" w:rsidRPr="00462519">
        <w:rPr>
          <w:rFonts w:eastAsia="Times New Roman" w:cstheme="minorHAnsi"/>
          <w:b/>
          <w:bCs/>
          <w:sz w:val="24"/>
          <w:szCs w:val="24"/>
          <w:lang w:eastAsia="es-ES"/>
        </w:rPr>
        <w:t>,</w:t>
      </w:r>
      <w:r w:rsidR="00176D92" w:rsidRPr="00462519">
        <w:rPr>
          <w:rFonts w:eastAsia="Times New Roman" w:cstheme="minorHAnsi"/>
          <w:b/>
          <w:bCs/>
          <w:sz w:val="24"/>
          <w:szCs w:val="24"/>
          <w:lang w:eastAsia="es-ES"/>
        </w:rPr>
        <w:t xml:space="preserve"> </w:t>
      </w:r>
      <w:r w:rsidR="00BF438D" w:rsidRPr="00462519">
        <w:rPr>
          <w:rFonts w:eastAsia="Times New Roman" w:cstheme="minorHAnsi"/>
          <w:b/>
          <w:bCs/>
          <w:sz w:val="24"/>
          <w:szCs w:val="24"/>
          <w:lang w:eastAsia="es-ES"/>
        </w:rPr>
        <w:t xml:space="preserve">ha celebrado </w:t>
      </w:r>
      <w:r w:rsidR="00AD2A89" w:rsidRPr="00462519">
        <w:rPr>
          <w:rFonts w:eastAsia="Times New Roman" w:cstheme="minorHAnsi"/>
          <w:b/>
          <w:bCs/>
          <w:sz w:val="24"/>
          <w:szCs w:val="24"/>
          <w:lang w:eastAsia="es-ES"/>
        </w:rPr>
        <w:t xml:space="preserve">con todos sus socios </w:t>
      </w:r>
      <w:r w:rsidR="00BF438D" w:rsidRPr="00462519">
        <w:rPr>
          <w:rFonts w:eastAsia="Times New Roman" w:cstheme="minorHAnsi"/>
          <w:b/>
          <w:bCs/>
          <w:sz w:val="24"/>
          <w:szCs w:val="24"/>
          <w:lang w:eastAsia="es-ES"/>
        </w:rPr>
        <w:t xml:space="preserve">la sentencia dictada por el Tribunal General de la Unión Europea, </w:t>
      </w:r>
      <w:r w:rsidR="00176D92" w:rsidRPr="00462519">
        <w:rPr>
          <w:rFonts w:eastAsia="Times New Roman" w:cstheme="minorHAnsi"/>
          <w:b/>
          <w:bCs/>
          <w:sz w:val="24"/>
          <w:szCs w:val="24"/>
          <w:lang w:eastAsia="es-ES"/>
        </w:rPr>
        <w:t xml:space="preserve">y la ha calificado de histórica. El texto </w:t>
      </w:r>
      <w:r w:rsidR="00BF438D" w:rsidRPr="00462519">
        <w:rPr>
          <w:rFonts w:eastAsia="Times New Roman" w:cstheme="minorHAnsi"/>
          <w:b/>
          <w:bCs/>
          <w:sz w:val="24"/>
          <w:szCs w:val="24"/>
          <w:lang w:eastAsia="es-ES"/>
        </w:rPr>
        <w:t xml:space="preserve">reconoce la singularidad de la dehesa y anula la sanción impuesta a España por supuestas irregularidades en pagos por ayudas a la dehesa, cantidad que el Gobierno central había repercutido en once comunidades autónomas, </w:t>
      </w:r>
      <w:r w:rsidR="006626A0" w:rsidRPr="00462519">
        <w:rPr>
          <w:rFonts w:eastAsia="Times New Roman" w:cstheme="minorHAnsi"/>
          <w:b/>
          <w:bCs/>
          <w:sz w:val="24"/>
          <w:szCs w:val="24"/>
          <w:lang w:eastAsia="es-ES"/>
        </w:rPr>
        <w:t xml:space="preserve">entre ellas </w:t>
      </w:r>
      <w:r w:rsidR="00176D92" w:rsidRPr="00462519">
        <w:rPr>
          <w:rFonts w:eastAsia="Times New Roman" w:cstheme="minorHAnsi"/>
          <w:b/>
          <w:bCs/>
          <w:sz w:val="24"/>
          <w:szCs w:val="24"/>
          <w:lang w:eastAsia="es-ES"/>
        </w:rPr>
        <w:t xml:space="preserve">Castilla y </w:t>
      </w:r>
      <w:proofErr w:type="spellStart"/>
      <w:r w:rsidR="00176D92" w:rsidRPr="00462519">
        <w:rPr>
          <w:rFonts w:eastAsia="Times New Roman" w:cstheme="minorHAnsi"/>
          <w:b/>
          <w:bCs/>
          <w:sz w:val="24"/>
          <w:szCs w:val="24"/>
          <w:lang w:eastAsia="es-ES"/>
        </w:rPr>
        <w:t>Léon</w:t>
      </w:r>
      <w:proofErr w:type="spellEnd"/>
      <w:r w:rsidR="00176D92" w:rsidRPr="00462519">
        <w:rPr>
          <w:rFonts w:eastAsia="Times New Roman" w:cstheme="minorHAnsi"/>
          <w:b/>
          <w:bCs/>
          <w:sz w:val="24"/>
          <w:szCs w:val="24"/>
          <w:lang w:eastAsia="es-ES"/>
        </w:rPr>
        <w:t>.</w:t>
      </w:r>
    </w:p>
    <w:p w:rsidR="00BF438D" w:rsidRPr="00462519" w:rsidRDefault="00BF438D" w:rsidP="00555D6E">
      <w:pPr>
        <w:shd w:val="clear" w:color="auto" w:fill="FCFCFC"/>
        <w:spacing w:after="150" w:line="240" w:lineRule="auto"/>
        <w:jc w:val="both"/>
        <w:rPr>
          <w:rFonts w:eastAsia="Times New Roman" w:cstheme="minorHAnsi"/>
          <w:sz w:val="24"/>
          <w:szCs w:val="24"/>
          <w:lang w:eastAsia="es-ES"/>
        </w:rPr>
      </w:pPr>
      <w:r w:rsidRPr="00462519">
        <w:rPr>
          <w:rFonts w:eastAsia="Times New Roman" w:cstheme="minorHAnsi"/>
          <w:sz w:val="24"/>
          <w:szCs w:val="24"/>
          <w:lang w:eastAsia="es-ES"/>
        </w:rPr>
        <w:t xml:space="preserve">Esta decisión judicial tiene lugar tras el recurso de anulación que en su día presentó España, contra la </w:t>
      </w:r>
      <w:r w:rsidR="00AD2A89" w:rsidRPr="00462519">
        <w:rPr>
          <w:rFonts w:eastAsia="Times New Roman" w:cstheme="minorHAnsi"/>
          <w:sz w:val="24"/>
          <w:szCs w:val="24"/>
          <w:lang w:eastAsia="es-ES"/>
        </w:rPr>
        <w:t>d</w:t>
      </w:r>
      <w:r w:rsidRPr="00462519">
        <w:rPr>
          <w:rFonts w:eastAsia="Times New Roman" w:cstheme="minorHAnsi"/>
          <w:sz w:val="24"/>
          <w:szCs w:val="24"/>
          <w:lang w:eastAsia="es-ES"/>
        </w:rPr>
        <w:t>ecisión de la Comisión Europea de excluir de la financiación comunitaria determinados gastos efectuados con cargo a los fondos FEADER y FEAGA, y que afecta a las superficies de pastos permanentes declaradas en las campañas 2009 a 2013.</w:t>
      </w:r>
    </w:p>
    <w:p w:rsidR="00BF438D" w:rsidRPr="00462519" w:rsidRDefault="00BF438D" w:rsidP="00555D6E">
      <w:pPr>
        <w:shd w:val="clear" w:color="auto" w:fill="FCFCFC"/>
        <w:spacing w:after="150" w:line="240" w:lineRule="auto"/>
        <w:jc w:val="both"/>
        <w:rPr>
          <w:rFonts w:eastAsia="Times New Roman" w:cstheme="minorHAnsi"/>
          <w:sz w:val="24"/>
          <w:szCs w:val="24"/>
          <w:lang w:eastAsia="es-ES"/>
        </w:rPr>
      </w:pPr>
      <w:r w:rsidRPr="00462519">
        <w:rPr>
          <w:rFonts w:eastAsia="Times New Roman" w:cstheme="minorHAnsi"/>
          <w:sz w:val="24"/>
          <w:szCs w:val="24"/>
          <w:lang w:eastAsia="es-ES"/>
        </w:rPr>
        <w:t xml:space="preserve">Según </w:t>
      </w:r>
      <w:r w:rsidR="00176D92" w:rsidRPr="00462519">
        <w:rPr>
          <w:rFonts w:eastAsia="Times New Roman" w:cstheme="minorHAnsi"/>
          <w:sz w:val="24"/>
          <w:szCs w:val="24"/>
          <w:lang w:eastAsia="es-ES"/>
        </w:rPr>
        <w:t>Jesús Castaño Nieto</w:t>
      </w:r>
      <w:r w:rsidRPr="00462519">
        <w:rPr>
          <w:rFonts w:eastAsia="Times New Roman" w:cstheme="minorHAnsi"/>
          <w:sz w:val="24"/>
          <w:szCs w:val="24"/>
          <w:lang w:eastAsia="es-ES"/>
        </w:rPr>
        <w:t xml:space="preserve">, </w:t>
      </w:r>
      <w:proofErr w:type="spellStart"/>
      <w:r w:rsidR="00176D92" w:rsidRPr="00462519">
        <w:rPr>
          <w:rFonts w:eastAsia="Times New Roman" w:cstheme="minorHAnsi"/>
          <w:sz w:val="24"/>
          <w:szCs w:val="24"/>
          <w:lang w:eastAsia="es-ES"/>
        </w:rPr>
        <w:t>Fafcyle</w:t>
      </w:r>
      <w:proofErr w:type="spellEnd"/>
      <w:r w:rsidR="00176D92" w:rsidRPr="00462519">
        <w:rPr>
          <w:rFonts w:eastAsia="Times New Roman" w:cstheme="minorHAnsi"/>
          <w:sz w:val="24"/>
          <w:szCs w:val="24"/>
          <w:lang w:eastAsia="es-ES"/>
        </w:rPr>
        <w:t xml:space="preserve">, a través de la Federación de la Dehesa, </w:t>
      </w:r>
      <w:proofErr w:type="spellStart"/>
      <w:r w:rsidRPr="00462519">
        <w:rPr>
          <w:rFonts w:eastAsia="Times New Roman" w:cstheme="minorHAnsi"/>
          <w:sz w:val="24"/>
          <w:szCs w:val="24"/>
          <w:lang w:eastAsia="es-ES"/>
        </w:rPr>
        <w:t>Fedehesa</w:t>
      </w:r>
      <w:proofErr w:type="spellEnd"/>
      <w:r w:rsidR="00176D92" w:rsidRPr="00462519">
        <w:rPr>
          <w:rFonts w:eastAsia="Times New Roman" w:cstheme="minorHAnsi"/>
          <w:sz w:val="24"/>
          <w:szCs w:val="24"/>
          <w:lang w:eastAsia="es-ES"/>
        </w:rPr>
        <w:t>,</w:t>
      </w:r>
      <w:r w:rsidRPr="00462519">
        <w:rPr>
          <w:rFonts w:eastAsia="Times New Roman" w:cstheme="minorHAnsi"/>
          <w:sz w:val="24"/>
          <w:szCs w:val="24"/>
          <w:lang w:eastAsia="es-ES"/>
        </w:rPr>
        <w:t xml:space="preserve"> </w:t>
      </w:r>
      <w:r w:rsidR="00176D92" w:rsidRPr="00462519">
        <w:rPr>
          <w:rFonts w:eastAsia="Times New Roman" w:cstheme="minorHAnsi"/>
          <w:sz w:val="24"/>
          <w:szCs w:val="24"/>
          <w:lang w:eastAsia="es-ES"/>
        </w:rPr>
        <w:t xml:space="preserve">de la que es también vicepresidente, </w:t>
      </w:r>
      <w:r w:rsidRPr="00462519">
        <w:rPr>
          <w:rFonts w:eastAsia="Times New Roman" w:cstheme="minorHAnsi"/>
          <w:sz w:val="24"/>
          <w:szCs w:val="24"/>
          <w:lang w:eastAsia="es-ES"/>
        </w:rPr>
        <w:t>ha sido de los colectivos más implicados en la lucha por lograr un trato justo para la dehesa, lo que también imp</w:t>
      </w:r>
      <w:r w:rsidR="00AD2A89" w:rsidRPr="00462519">
        <w:rPr>
          <w:rFonts w:eastAsia="Times New Roman" w:cstheme="minorHAnsi"/>
          <w:sz w:val="24"/>
          <w:szCs w:val="24"/>
          <w:lang w:eastAsia="es-ES"/>
        </w:rPr>
        <w:t>l</w:t>
      </w:r>
      <w:r w:rsidRPr="00462519">
        <w:rPr>
          <w:rFonts w:eastAsia="Times New Roman" w:cstheme="minorHAnsi"/>
          <w:sz w:val="24"/>
          <w:szCs w:val="24"/>
          <w:lang w:eastAsia="es-ES"/>
        </w:rPr>
        <w:t xml:space="preserve">ica, ha dicho, un reconocimiento ‘’claro’’, incluso a nivel judicial, de la singularidad de la dehesa y de </w:t>
      </w:r>
      <w:r w:rsidR="00AD2A89" w:rsidRPr="00462519">
        <w:rPr>
          <w:rFonts w:eastAsia="Times New Roman" w:cstheme="minorHAnsi"/>
          <w:sz w:val="24"/>
          <w:szCs w:val="24"/>
          <w:lang w:eastAsia="es-ES"/>
        </w:rPr>
        <w:t>la</w:t>
      </w:r>
      <w:r w:rsidRPr="00462519">
        <w:rPr>
          <w:rFonts w:eastAsia="Times New Roman" w:cstheme="minorHAnsi"/>
          <w:sz w:val="24"/>
          <w:szCs w:val="24"/>
          <w:lang w:eastAsia="es-ES"/>
        </w:rPr>
        <w:t xml:space="preserve"> necesidad de que este ecosistema, que es modelo de desarrollo sostenible, sea reconocido y tratado de manera diferencial en la reforma de la PAC que está en marcha.</w:t>
      </w:r>
    </w:p>
    <w:p w:rsidR="00AD2A89" w:rsidRPr="00462519" w:rsidRDefault="00AD2A89" w:rsidP="00555D6E">
      <w:pPr>
        <w:shd w:val="clear" w:color="auto" w:fill="FFFFFF"/>
        <w:spacing w:after="128" w:line="240" w:lineRule="auto"/>
        <w:jc w:val="both"/>
        <w:rPr>
          <w:rFonts w:eastAsia="Times New Roman" w:cstheme="minorHAnsi"/>
          <w:sz w:val="24"/>
          <w:szCs w:val="24"/>
          <w:lang w:eastAsia="es-ES"/>
        </w:rPr>
      </w:pPr>
      <w:r w:rsidRPr="00462519">
        <w:rPr>
          <w:rFonts w:eastAsia="Times New Roman" w:cstheme="minorHAnsi"/>
          <w:sz w:val="24"/>
          <w:szCs w:val="24"/>
          <w:lang w:eastAsia="es-ES"/>
        </w:rPr>
        <w:t xml:space="preserve">El Tribunal General de Justicia de la Unión Europea </w:t>
      </w:r>
      <w:r w:rsidR="00555D6E" w:rsidRPr="00462519">
        <w:rPr>
          <w:rFonts w:eastAsia="Times New Roman" w:cstheme="minorHAnsi"/>
          <w:sz w:val="24"/>
          <w:szCs w:val="24"/>
          <w:lang w:eastAsia="es-ES"/>
        </w:rPr>
        <w:t>publicó ayer</w:t>
      </w:r>
      <w:r w:rsidRPr="00462519">
        <w:rPr>
          <w:rFonts w:eastAsia="Times New Roman" w:cstheme="minorHAnsi"/>
          <w:sz w:val="24"/>
          <w:szCs w:val="24"/>
          <w:lang w:eastAsia="es-ES"/>
        </w:rPr>
        <w:t xml:space="preserve"> una sentencia que estima parcialmente la demanda que España interpuso contra la decisión de la Comisión Europea de aplicar una importante corrección financiera en relación con la admisibilidad de las superficies de pastos declaradas en el marco de las ayudas directas de la Política Agrícola Común (PAC), en el periodo 2009-2013. Esta corrección ascendía a más de 260 millones de euros para dicho periodo y penalizaba especialmente a las superficies de </w:t>
      </w:r>
      <w:r w:rsidRPr="00462519">
        <w:rPr>
          <w:rFonts w:eastAsia="Times New Roman" w:cstheme="minorHAnsi"/>
          <w:sz w:val="24"/>
          <w:szCs w:val="24"/>
          <w:lang w:eastAsia="es-ES"/>
        </w:rPr>
        <w:lastRenderedPageBreak/>
        <w:t>pasto arbustivo y a las superficies de pasto arbolado declaradas en España para el cobro de las ayudas de la PAC.</w:t>
      </w:r>
    </w:p>
    <w:p w:rsidR="00555D6E" w:rsidRPr="00462519" w:rsidRDefault="00555D6E" w:rsidP="00555D6E">
      <w:pPr>
        <w:shd w:val="clear" w:color="auto" w:fill="FFFFFF"/>
        <w:spacing w:after="128" w:line="240" w:lineRule="auto"/>
        <w:jc w:val="both"/>
        <w:rPr>
          <w:rFonts w:eastAsia="Times New Roman" w:cstheme="minorHAnsi"/>
          <w:sz w:val="24"/>
          <w:szCs w:val="24"/>
          <w:lang w:eastAsia="es-ES"/>
        </w:rPr>
      </w:pPr>
      <w:r w:rsidRPr="00462519">
        <w:rPr>
          <w:rFonts w:eastAsia="Times New Roman" w:cstheme="minorHAnsi"/>
          <w:sz w:val="24"/>
          <w:szCs w:val="24"/>
          <w:lang w:eastAsia="es-ES"/>
        </w:rPr>
        <w:t>En concreto, la sentencia anula la decisión de la Comisión en lo que se refiere a dos tipos de superficie:</w:t>
      </w:r>
    </w:p>
    <w:p w:rsidR="00555D6E" w:rsidRPr="00462519" w:rsidRDefault="00555D6E" w:rsidP="00555D6E">
      <w:pPr>
        <w:shd w:val="clear" w:color="auto" w:fill="FFFFFF"/>
        <w:spacing w:after="128" w:line="240" w:lineRule="auto"/>
        <w:jc w:val="both"/>
        <w:rPr>
          <w:rFonts w:eastAsia="Times New Roman" w:cstheme="minorHAnsi"/>
          <w:sz w:val="24"/>
          <w:szCs w:val="24"/>
          <w:lang w:eastAsia="es-ES"/>
        </w:rPr>
      </w:pPr>
      <w:r w:rsidRPr="00462519">
        <w:rPr>
          <w:rFonts w:eastAsia="Times New Roman" w:cstheme="minorHAnsi"/>
          <w:sz w:val="24"/>
          <w:szCs w:val="24"/>
          <w:lang w:eastAsia="es-ES"/>
        </w:rPr>
        <w:t> 1.- La superficie de pasto arbolado ubicada en la dehesa, que había sido penalizada con una corrección del 25% sobre los pagos realizados en la misma. Para el Tribunal ha quedado demostrado que su admisibilidad como superficie para el uso ganadero es superior a la de otros tipos de pasto arbolado, por lo que en ningún caso debería recibir una corrección de esa magnitud.</w:t>
      </w:r>
    </w:p>
    <w:p w:rsidR="00555D6E" w:rsidRPr="00462519" w:rsidRDefault="00555D6E" w:rsidP="00555D6E">
      <w:pPr>
        <w:shd w:val="clear" w:color="auto" w:fill="FFFFFF"/>
        <w:spacing w:after="128" w:line="240" w:lineRule="auto"/>
        <w:jc w:val="both"/>
        <w:rPr>
          <w:rFonts w:eastAsia="Times New Roman" w:cstheme="minorHAnsi"/>
          <w:sz w:val="24"/>
          <w:szCs w:val="24"/>
          <w:lang w:eastAsia="es-ES"/>
        </w:rPr>
      </w:pPr>
      <w:r w:rsidRPr="00462519">
        <w:rPr>
          <w:rFonts w:eastAsia="Times New Roman" w:cstheme="minorHAnsi"/>
          <w:sz w:val="24"/>
          <w:szCs w:val="24"/>
          <w:lang w:eastAsia="es-ES"/>
        </w:rPr>
        <w:t> 2.- La superficie de pasto arbustivo declarada por ganaderos que hacen un uso forrajero fundamental de dicha superficie. En este caso, la Comisión había impuesto una corrección del 10% sobre los pagos ejecutados en dicha superficie, y el Tribunal considera que ese cálculo no se ajusta a Derecho.</w:t>
      </w:r>
    </w:p>
    <w:p w:rsidR="00555D6E" w:rsidRPr="00462519" w:rsidRDefault="00555D6E" w:rsidP="00555D6E">
      <w:pPr>
        <w:shd w:val="clear" w:color="auto" w:fill="FFFFFF"/>
        <w:spacing w:after="128" w:line="240" w:lineRule="auto"/>
        <w:jc w:val="both"/>
        <w:rPr>
          <w:rFonts w:eastAsia="Times New Roman" w:cstheme="minorHAnsi"/>
          <w:sz w:val="24"/>
          <w:szCs w:val="24"/>
          <w:lang w:eastAsia="es-ES"/>
        </w:rPr>
      </w:pPr>
      <w:r w:rsidRPr="00462519">
        <w:rPr>
          <w:rFonts w:eastAsia="Times New Roman" w:cstheme="minorHAnsi"/>
          <w:sz w:val="24"/>
          <w:szCs w:val="24"/>
          <w:lang w:eastAsia="es-ES"/>
        </w:rPr>
        <w:t> De esta forma, la decisión del Tribunal supone una reducción sensible de la corrección financiera inicial, así como un reconocimiento a las superficies de los pastos arbustivos y arbolados mediterráneos que se declaran en el marco de la PAC y que son utilizados por los ganaderos en sus explotaciones de ganadería extensiva en toda España.</w:t>
      </w:r>
    </w:p>
    <w:p w:rsidR="00555D6E" w:rsidRPr="00462519" w:rsidRDefault="00555D6E" w:rsidP="00555D6E">
      <w:pPr>
        <w:shd w:val="clear" w:color="auto" w:fill="FFFFFF"/>
        <w:spacing w:after="128" w:line="240" w:lineRule="auto"/>
        <w:jc w:val="both"/>
        <w:rPr>
          <w:rFonts w:eastAsia="Times New Roman" w:cstheme="minorHAnsi"/>
          <w:sz w:val="24"/>
          <w:szCs w:val="24"/>
          <w:lang w:eastAsia="es-ES"/>
        </w:rPr>
      </w:pPr>
      <w:r w:rsidRPr="00462519">
        <w:rPr>
          <w:rFonts w:eastAsia="Times New Roman" w:cstheme="minorHAnsi"/>
          <w:sz w:val="24"/>
          <w:szCs w:val="24"/>
          <w:lang w:eastAsia="es-ES"/>
        </w:rPr>
        <w:t> España siempre ha considerado que la citada corrección era desproporcionada y que no se estaba teniendo en cuenta el importante valor ambiental y forrajero de los pastos arbustivos mediterráneos, cuyo uso se estaba penalizando. Por ello, el Ministerio de Agricultura, Pesca y Alimentación presentó una demanda para impugnar dicha sanción ante el Tribunal de Justicia de la UE.  </w:t>
      </w:r>
    </w:p>
    <w:p w:rsidR="00AD2A89" w:rsidRPr="00462519" w:rsidRDefault="00AD2A89" w:rsidP="00555D6E">
      <w:pPr>
        <w:shd w:val="clear" w:color="auto" w:fill="F8FAFC"/>
        <w:spacing w:after="75" w:line="240" w:lineRule="auto"/>
        <w:jc w:val="both"/>
        <w:rPr>
          <w:rFonts w:eastAsia="Times New Roman" w:cstheme="minorHAnsi"/>
          <w:b/>
          <w:sz w:val="24"/>
          <w:szCs w:val="24"/>
          <w:u w:val="single"/>
          <w:lang w:eastAsia="es-ES"/>
        </w:rPr>
      </w:pPr>
    </w:p>
    <w:p w:rsidR="00BF438D" w:rsidRPr="00462519" w:rsidRDefault="00BF438D" w:rsidP="00555D6E">
      <w:pPr>
        <w:shd w:val="clear" w:color="auto" w:fill="F8FAFC"/>
        <w:spacing w:after="75" w:line="240" w:lineRule="auto"/>
        <w:jc w:val="both"/>
        <w:rPr>
          <w:rFonts w:eastAsia="Times New Roman" w:cstheme="minorHAnsi"/>
          <w:b/>
          <w:sz w:val="32"/>
          <w:szCs w:val="32"/>
          <w:u w:val="single"/>
          <w:lang w:eastAsia="es-ES"/>
        </w:rPr>
      </w:pPr>
      <w:proofErr w:type="spellStart"/>
      <w:r w:rsidRPr="00462519">
        <w:rPr>
          <w:rFonts w:eastAsia="Times New Roman" w:cstheme="minorHAnsi"/>
          <w:b/>
          <w:sz w:val="32"/>
          <w:szCs w:val="32"/>
          <w:u w:val="single"/>
          <w:lang w:eastAsia="es-ES"/>
        </w:rPr>
        <w:t>Fedehesa</w:t>
      </w:r>
      <w:proofErr w:type="spellEnd"/>
    </w:p>
    <w:p w:rsidR="00AD2A89" w:rsidRPr="00462519" w:rsidRDefault="00AD2A89" w:rsidP="00555D6E">
      <w:pPr>
        <w:pStyle w:val="NormalWeb"/>
        <w:spacing w:before="0" w:beforeAutospacing="0" w:after="0" w:afterAutospacing="0"/>
        <w:jc w:val="both"/>
        <w:rPr>
          <w:rFonts w:asciiTheme="minorHAnsi" w:hAnsiTheme="minorHAnsi" w:cstheme="minorHAnsi"/>
          <w:shd w:val="clear" w:color="auto" w:fill="FFFFFF"/>
        </w:rPr>
      </w:pPr>
    </w:p>
    <w:p w:rsidR="00BF438D" w:rsidRPr="00462519" w:rsidRDefault="00BF438D" w:rsidP="00555D6E">
      <w:pPr>
        <w:pStyle w:val="NormalWeb"/>
        <w:spacing w:before="0" w:beforeAutospacing="0" w:after="0" w:afterAutospacing="0"/>
        <w:jc w:val="both"/>
        <w:rPr>
          <w:rFonts w:asciiTheme="minorHAnsi" w:hAnsiTheme="minorHAnsi" w:cstheme="minorHAnsi"/>
        </w:rPr>
      </w:pPr>
      <w:proofErr w:type="spellStart"/>
      <w:r w:rsidRPr="00462519">
        <w:rPr>
          <w:rFonts w:asciiTheme="minorHAnsi" w:hAnsiTheme="minorHAnsi" w:cstheme="minorHAnsi"/>
          <w:shd w:val="clear" w:color="auto" w:fill="FFFFFF"/>
        </w:rPr>
        <w:t>Fedehesa</w:t>
      </w:r>
      <w:proofErr w:type="spellEnd"/>
      <w:r w:rsidRPr="00462519">
        <w:rPr>
          <w:rFonts w:asciiTheme="minorHAnsi" w:hAnsiTheme="minorHAnsi" w:cstheme="minorHAnsi"/>
          <w:shd w:val="clear" w:color="auto" w:fill="FFFFFF"/>
        </w:rPr>
        <w:t xml:space="preserve"> es la Federación Española de productores de la Dehesa, constituida en 2014 y compuesta por más de veinte entidades que aglutinan miles de asociados. Sus principales objetivos son</w:t>
      </w:r>
      <w:r w:rsidR="00AD2A89" w:rsidRPr="00462519">
        <w:rPr>
          <w:rFonts w:asciiTheme="minorHAnsi" w:hAnsiTheme="minorHAnsi" w:cstheme="minorHAnsi"/>
          <w:shd w:val="clear" w:color="auto" w:fill="FFFFFF"/>
        </w:rPr>
        <w:t xml:space="preserve"> c</w:t>
      </w:r>
      <w:r w:rsidRPr="00462519">
        <w:rPr>
          <w:rFonts w:asciiTheme="minorHAnsi" w:hAnsiTheme="minorHAnsi" w:cstheme="minorHAnsi"/>
          <w:shd w:val="clear" w:color="auto" w:fill="FFFFFF"/>
        </w:rPr>
        <w:t>ontribuir al diseño de una Ley Nacional para la Dehesa; dar a conocer la importancia económica y cultural de la Dehesa en foros nacionales e internacionales; fomentar los productos comerciales cuya calidad esté ligada a la adecuada gestión de la Dehesa y contribuir a un mejor conocimiento científico-técnico de la Dehesa que permita combatir los riesgos existentes con información rigurosa.</w:t>
      </w:r>
    </w:p>
    <w:p w:rsidR="00555D6E" w:rsidRPr="00462519" w:rsidRDefault="00555D6E" w:rsidP="00BF438D">
      <w:pPr>
        <w:shd w:val="clear" w:color="auto" w:fill="FFFFFF"/>
        <w:spacing w:after="128" w:line="240" w:lineRule="auto"/>
        <w:rPr>
          <w:rFonts w:eastAsia="Times New Roman" w:cstheme="minorHAnsi"/>
          <w:sz w:val="24"/>
          <w:szCs w:val="24"/>
          <w:lang w:eastAsia="es-ES"/>
        </w:rPr>
      </w:pPr>
    </w:p>
    <w:p w:rsidR="009A47DA" w:rsidRPr="00462519" w:rsidRDefault="00176D92" w:rsidP="00BF438D">
      <w:pPr>
        <w:shd w:val="clear" w:color="auto" w:fill="FFFFFF"/>
        <w:spacing w:after="128" w:line="240" w:lineRule="auto"/>
        <w:rPr>
          <w:rFonts w:eastAsia="Times New Roman" w:cstheme="minorHAnsi"/>
          <w:b/>
          <w:sz w:val="36"/>
          <w:szCs w:val="36"/>
          <w:u w:val="single"/>
          <w:lang w:eastAsia="es-ES"/>
        </w:rPr>
      </w:pPr>
      <w:proofErr w:type="spellStart"/>
      <w:r w:rsidRPr="00462519">
        <w:rPr>
          <w:rFonts w:eastAsia="Times New Roman" w:cstheme="minorHAnsi"/>
          <w:b/>
          <w:sz w:val="36"/>
          <w:szCs w:val="36"/>
          <w:u w:val="single"/>
          <w:lang w:eastAsia="es-ES"/>
        </w:rPr>
        <w:t>Fafcyle</w:t>
      </w:r>
      <w:proofErr w:type="spellEnd"/>
      <w:r w:rsidRPr="00462519">
        <w:rPr>
          <w:rFonts w:eastAsia="Times New Roman" w:cstheme="minorHAnsi"/>
          <w:b/>
          <w:sz w:val="36"/>
          <w:szCs w:val="36"/>
          <w:u w:val="single"/>
          <w:lang w:eastAsia="es-ES"/>
        </w:rPr>
        <w:t xml:space="preserve"> </w:t>
      </w:r>
    </w:p>
    <w:p w:rsidR="00176D92" w:rsidRPr="00462519" w:rsidRDefault="00176D92" w:rsidP="00176D92">
      <w:pPr>
        <w:pStyle w:val="NormalWeb"/>
        <w:shd w:val="clear" w:color="auto" w:fill="FFFFFF"/>
        <w:spacing w:before="0" w:beforeAutospacing="0" w:after="0" w:afterAutospacing="0"/>
        <w:jc w:val="both"/>
        <w:textAlignment w:val="baseline"/>
        <w:rPr>
          <w:rFonts w:asciiTheme="minorHAnsi" w:hAnsiTheme="minorHAnsi" w:cstheme="minorHAnsi"/>
        </w:rPr>
      </w:pPr>
      <w:r w:rsidRPr="00462519">
        <w:rPr>
          <w:rFonts w:asciiTheme="minorHAnsi" w:hAnsiTheme="minorHAnsi" w:cstheme="minorHAnsi"/>
        </w:rPr>
        <w:t xml:space="preserve">FAFCYLE (Federación de Asociaciones Forestales de Castilla y León) es una organización sin ánimo de lucro que representa desde hace </w:t>
      </w:r>
      <w:r w:rsidR="00462519" w:rsidRPr="00462519">
        <w:rPr>
          <w:rFonts w:asciiTheme="minorHAnsi" w:hAnsiTheme="minorHAnsi" w:cstheme="minorHAnsi"/>
        </w:rPr>
        <w:t>casi 30 años</w:t>
      </w:r>
      <w:r w:rsidRPr="00462519">
        <w:rPr>
          <w:rFonts w:asciiTheme="minorHAnsi" w:hAnsiTheme="minorHAnsi" w:cstheme="minorHAnsi"/>
        </w:rPr>
        <w:t xml:space="preserve"> a los propietarios forestales de la autonomía castellano y leonesa. Formada por las nueve asociaciones de forestales de la Comunidad, cuenta con más de 8.000 socios.</w:t>
      </w:r>
    </w:p>
    <w:p w:rsidR="00176D92" w:rsidRPr="00462519" w:rsidRDefault="00176D92" w:rsidP="00176D92">
      <w:pPr>
        <w:pStyle w:val="NormalWeb"/>
        <w:shd w:val="clear" w:color="auto" w:fill="FFFFFF"/>
        <w:spacing w:before="0" w:beforeAutospacing="0" w:after="0" w:afterAutospacing="0"/>
        <w:jc w:val="both"/>
        <w:textAlignment w:val="baseline"/>
        <w:rPr>
          <w:rFonts w:asciiTheme="minorHAnsi" w:hAnsiTheme="minorHAnsi" w:cstheme="minorHAnsi"/>
        </w:rPr>
      </w:pPr>
      <w:r w:rsidRPr="00462519">
        <w:rPr>
          <w:rFonts w:asciiTheme="minorHAnsi" w:hAnsiTheme="minorHAnsi" w:cstheme="minorHAnsi"/>
        </w:rPr>
        <w:t>La federación, que aúna los esfuerzos de los propietarios en pro de la defensa y el desarrollo del sector forestal, asesora, conciencia, forma y es el órgano de interlocución entre los propietarios y las administraciones.</w:t>
      </w:r>
    </w:p>
    <w:p w:rsidR="00176D92" w:rsidRPr="00462519" w:rsidRDefault="00176D92" w:rsidP="00BF438D">
      <w:pPr>
        <w:shd w:val="clear" w:color="auto" w:fill="FFFFFF"/>
        <w:spacing w:after="128" w:line="240" w:lineRule="auto"/>
        <w:rPr>
          <w:rFonts w:ascii="Georgia" w:eastAsia="Times New Roman" w:hAnsi="Georgia" w:cs="Arial"/>
          <w:b/>
          <w:sz w:val="24"/>
          <w:szCs w:val="24"/>
          <w:u w:val="single"/>
          <w:lang w:eastAsia="es-ES"/>
        </w:rPr>
      </w:pPr>
    </w:p>
    <w:p w:rsidR="00176D92" w:rsidRDefault="00176D92" w:rsidP="00BF438D">
      <w:pPr>
        <w:shd w:val="clear" w:color="auto" w:fill="FFFFFF"/>
        <w:spacing w:after="128" w:line="240" w:lineRule="auto"/>
        <w:rPr>
          <w:rFonts w:ascii="Georgia" w:eastAsia="Times New Roman" w:hAnsi="Georgia" w:cs="Arial"/>
          <w:sz w:val="24"/>
          <w:szCs w:val="24"/>
          <w:lang w:eastAsia="es-ES"/>
        </w:rPr>
      </w:pPr>
    </w:p>
    <w:p w:rsidR="009A47DA" w:rsidRDefault="009A47DA" w:rsidP="00BF438D">
      <w:pPr>
        <w:shd w:val="clear" w:color="auto" w:fill="FFFFFF"/>
        <w:spacing w:after="128" w:line="240" w:lineRule="auto"/>
        <w:rPr>
          <w:rFonts w:ascii="Georgia" w:eastAsia="Times New Roman" w:hAnsi="Georgia" w:cs="Arial"/>
          <w:sz w:val="24"/>
          <w:szCs w:val="24"/>
          <w:lang w:eastAsia="es-ES"/>
        </w:rPr>
      </w:pPr>
      <w:r>
        <w:rPr>
          <w:rFonts w:ascii="Georgia" w:eastAsia="Times New Roman" w:hAnsi="Georgia" w:cs="Arial"/>
          <w:sz w:val="24"/>
          <w:szCs w:val="24"/>
          <w:lang w:eastAsia="es-ES"/>
        </w:rPr>
        <w:t xml:space="preserve">Para </w:t>
      </w:r>
      <w:proofErr w:type="gramStart"/>
      <w:r>
        <w:rPr>
          <w:rFonts w:ascii="Georgia" w:eastAsia="Times New Roman" w:hAnsi="Georgia" w:cs="Arial"/>
          <w:sz w:val="24"/>
          <w:szCs w:val="24"/>
          <w:lang w:eastAsia="es-ES"/>
        </w:rPr>
        <w:t>mayor información</w:t>
      </w:r>
      <w:proofErr w:type="gramEnd"/>
    </w:p>
    <w:p w:rsidR="00EE1004" w:rsidRDefault="00176D92" w:rsidP="00BF438D">
      <w:pPr>
        <w:shd w:val="clear" w:color="auto" w:fill="FFFFFF"/>
        <w:spacing w:after="128" w:line="240" w:lineRule="auto"/>
        <w:rPr>
          <w:rFonts w:ascii="Georgia" w:eastAsia="Times New Roman" w:hAnsi="Georgia" w:cs="Arial"/>
          <w:sz w:val="24"/>
          <w:szCs w:val="24"/>
          <w:lang w:eastAsia="es-ES"/>
        </w:rPr>
      </w:pPr>
      <w:r>
        <w:rPr>
          <w:rFonts w:ascii="Georgia" w:eastAsia="Times New Roman" w:hAnsi="Georgia" w:cs="Arial"/>
          <w:sz w:val="24"/>
          <w:szCs w:val="24"/>
          <w:lang w:eastAsia="es-ES"/>
        </w:rPr>
        <w:t xml:space="preserve">Olga González Raposo, gerente de </w:t>
      </w:r>
      <w:proofErr w:type="spellStart"/>
      <w:r>
        <w:rPr>
          <w:rFonts w:ascii="Georgia" w:eastAsia="Times New Roman" w:hAnsi="Georgia" w:cs="Arial"/>
          <w:sz w:val="24"/>
          <w:szCs w:val="24"/>
          <w:lang w:eastAsia="es-ES"/>
        </w:rPr>
        <w:t>Fafcyle</w:t>
      </w:r>
      <w:proofErr w:type="spellEnd"/>
    </w:p>
    <w:p w:rsidR="009A47DA" w:rsidRDefault="00EE1004" w:rsidP="00BF438D">
      <w:pPr>
        <w:shd w:val="clear" w:color="auto" w:fill="FFFFFF"/>
        <w:spacing w:after="128" w:line="240" w:lineRule="auto"/>
        <w:rPr>
          <w:rFonts w:ascii="Georgia" w:eastAsia="Times New Roman" w:hAnsi="Georgia" w:cs="Arial"/>
          <w:sz w:val="24"/>
          <w:szCs w:val="24"/>
          <w:lang w:eastAsia="es-ES"/>
        </w:rPr>
      </w:pPr>
      <w:proofErr w:type="spellStart"/>
      <w:r>
        <w:rPr>
          <w:rFonts w:ascii="Georgia" w:eastAsia="Times New Roman" w:hAnsi="Georgia" w:cs="Arial"/>
          <w:sz w:val="24"/>
          <w:szCs w:val="24"/>
          <w:lang w:eastAsia="es-ES"/>
        </w:rPr>
        <w:t>Telefono</w:t>
      </w:r>
      <w:proofErr w:type="spellEnd"/>
      <w:r>
        <w:rPr>
          <w:rFonts w:ascii="Georgia" w:eastAsia="Times New Roman" w:hAnsi="Georgia" w:cs="Arial"/>
          <w:sz w:val="24"/>
          <w:szCs w:val="24"/>
          <w:lang w:eastAsia="es-ES"/>
        </w:rPr>
        <w:t xml:space="preserve"> </w:t>
      </w:r>
      <w:r w:rsidR="00176D92">
        <w:rPr>
          <w:rFonts w:ascii="Georgia" w:eastAsia="Times New Roman" w:hAnsi="Georgia" w:cs="Arial"/>
          <w:sz w:val="24"/>
          <w:szCs w:val="24"/>
          <w:lang w:eastAsia="es-ES"/>
        </w:rPr>
        <w:t>687780707</w:t>
      </w:r>
    </w:p>
    <w:p w:rsidR="00176D92" w:rsidRDefault="00462519" w:rsidP="00BF438D">
      <w:pPr>
        <w:shd w:val="clear" w:color="auto" w:fill="FFFFFF"/>
        <w:spacing w:after="128" w:line="240" w:lineRule="auto"/>
        <w:rPr>
          <w:rFonts w:ascii="Georgia" w:eastAsia="Times New Roman" w:hAnsi="Georgia" w:cs="Arial"/>
          <w:sz w:val="24"/>
          <w:szCs w:val="24"/>
          <w:lang w:eastAsia="es-ES"/>
        </w:rPr>
      </w:pPr>
      <w:hyperlink r:id="rId5" w:history="1">
        <w:r w:rsidRPr="001263B8">
          <w:rPr>
            <w:rStyle w:val="Hipervnculo"/>
            <w:rFonts w:ascii="Georgia" w:eastAsia="Times New Roman" w:hAnsi="Georgia" w:cs="Arial"/>
            <w:sz w:val="24"/>
            <w:szCs w:val="24"/>
            <w:lang w:eastAsia="es-ES"/>
          </w:rPr>
          <w:t>fafcyle@fafcyle.com</w:t>
        </w:r>
      </w:hyperlink>
    </w:p>
    <w:p w:rsidR="00462519" w:rsidRDefault="00462519" w:rsidP="00BF438D">
      <w:pPr>
        <w:shd w:val="clear" w:color="auto" w:fill="FFFFFF"/>
        <w:spacing w:after="128" w:line="240" w:lineRule="auto"/>
        <w:rPr>
          <w:rFonts w:ascii="Georgia" w:eastAsia="Times New Roman" w:hAnsi="Georgia" w:cs="Arial"/>
          <w:sz w:val="24"/>
          <w:szCs w:val="24"/>
          <w:lang w:eastAsia="es-ES"/>
        </w:rPr>
      </w:pPr>
      <w:hyperlink r:id="rId6" w:history="1">
        <w:r w:rsidRPr="001263B8">
          <w:rPr>
            <w:rStyle w:val="Hipervnculo"/>
            <w:rFonts w:ascii="Georgia" w:eastAsia="Times New Roman" w:hAnsi="Georgia" w:cs="Arial"/>
            <w:sz w:val="24"/>
            <w:szCs w:val="24"/>
            <w:lang w:eastAsia="es-ES"/>
          </w:rPr>
          <w:t>www.fafcyle.com</w:t>
        </w:r>
      </w:hyperlink>
    </w:p>
    <w:p w:rsidR="00462519" w:rsidRDefault="00462519" w:rsidP="00BF438D">
      <w:pPr>
        <w:shd w:val="clear" w:color="auto" w:fill="FFFFFF"/>
        <w:spacing w:after="128" w:line="240" w:lineRule="auto"/>
        <w:rPr>
          <w:rFonts w:ascii="Georgia" w:eastAsia="Times New Roman" w:hAnsi="Georgia" w:cs="Arial"/>
          <w:sz w:val="24"/>
          <w:szCs w:val="24"/>
          <w:lang w:eastAsia="es-ES"/>
        </w:rPr>
      </w:pPr>
      <w:r>
        <w:rPr>
          <w:rFonts w:ascii="Georgia" w:eastAsia="Times New Roman" w:hAnsi="Georgia" w:cs="Arial"/>
          <w:sz w:val="24"/>
          <w:szCs w:val="24"/>
          <w:lang w:eastAsia="es-ES"/>
        </w:rPr>
        <w:t>@fafcyle</w:t>
      </w:r>
      <w:bookmarkStart w:id="0" w:name="_GoBack"/>
      <w:bookmarkEnd w:id="0"/>
    </w:p>
    <w:sectPr w:rsidR="004625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8D"/>
    <w:rsid w:val="00176D92"/>
    <w:rsid w:val="002726A2"/>
    <w:rsid w:val="00462519"/>
    <w:rsid w:val="00555D6E"/>
    <w:rsid w:val="006626A0"/>
    <w:rsid w:val="009A47DA"/>
    <w:rsid w:val="00AD2474"/>
    <w:rsid w:val="00AD2A89"/>
    <w:rsid w:val="00BF438D"/>
    <w:rsid w:val="00EE1004"/>
    <w:rsid w:val="00EE4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8A31"/>
  <w15:chartTrackingRefBased/>
  <w15:docId w15:val="{85CE87DB-8054-44DB-971C-45665A8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43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E1004"/>
    <w:rPr>
      <w:color w:val="0563C1" w:themeColor="hyperlink"/>
      <w:u w:val="single"/>
    </w:rPr>
  </w:style>
  <w:style w:type="character" w:styleId="Mencinsinresolver">
    <w:name w:val="Unresolved Mention"/>
    <w:basedOn w:val="Fuentedeprrafopredeter"/>
    <w:uiPriority w:val="99"/>
    <w:semiHidden/>
    <w:unhideWhenUsed/>
    <w:rsid w:val="00EE1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37597">
      <w:bodyDiv w:val="1"/>
      <w:marLeft w:val="0"/>
      <w:marRight w:val="0"/>
      <w:marTop w:val="0"/>
      <w:marBottom w:val="0"/>
      <w:divBdr>
        <w:top w:val="none" w:sz="0" w:space="0" w:color="auto"/>
        <w:left w:val="none" w:sz="0" w:space="0" w:color="auto"/>
        <w:bottom w:val="none" w:sz="0" w:space="0" w:color="auto"/>
        <w:right w:val="none" w:sz="0" w:space="0" w:color="auto"/>
      </w:divBdr>
    </w:div>
    <w:div w:id="833034356">
      <w:bodyDiv w:val="1"/>
      <w:marLeft w:val="0"/>
      <w:marRight w:val="0"/>
      <w:marTop w:val="0"/>
      <w:marBottom w:val="0"/>
      <w:divBdr>
        <w:top w:val="none" w:sz="0" w:space="0" w:color="auto"/>
        <w:left w:val="none" w:sz="0" w:space="0" w:color="auto"/>
        <w:bottom w:val="none" w:sz="0" w:space="0" w:color="auto"/>
        <w:right w:val="none" w:sz="0" w:space="0" w:color="auto"/>
      </w:divBdr>
    </w:div>
    <w:div w:id="1818566264">
      <w:bodyDiv w:val="1"/>
      <w:marLeft w:val="0"/>
      <w:marRight w:val="0"/>
      <w:marTop w:val="0"/>
      <w:marBottom w:val="0"/>
      <w:divBdr>
        <w:top w:val="none" w:sz="0" w:space="0" w:color="auto"/>
        <w:left w:val="none" w:sz="0" w:space="0" w:color="auto"/>
        <w:bottom w:val="none" w:sz="0" w:space="0" w:color="auto"/>
        <w:right w:val="none" w:sz="0" w:space="0" w:color="auto"/>
      </w:divBdr>
      <w:divsChild>
        <w:div w:id="1321272790">
          <w:marLeft w:val="0"/>
          <w:marRight w:val="0"/>
          <w:marTop w:val="75"/>
          <w:marBottom w:val="75"/>
          <w:divBdr>
            <w:top w:val="none" w:sz="0" w:space="0" w:color="auto"/>
            <w:left w:val="none" w:sz="0" w:space="0" w:color="auto"/>
            <w:bottom w:val="none" w:sz="0" w:space="0" w:color="auto"/>
            <w:right w:val="none" w:sz="0" w:space="0" w:color="auto"/>
          </w:divBdr>
        </w:div>
        <w:div w:id="2106920809">
          <w:marLeft w:val="0"/>
          <w:marRight w:val="0"/>
          <w:marTop w:val="75"/>
          <w:marBottom w:val="75"/>
          <w:divBdr>
            <w:top w:val="none" w:sz="0" w:space="0" w:color="auto"/>
            <w:left w:val="none" w:sz="0" w:space="0" w:color="auto"/>
            <w:bottom w:val="none" w:sz="0" w:space="0" w:color="auto"/>
            <w:right w:val="none" w:sz="0" w:space="0" w:color="auto"/>
          </w:divBdr>
        </w:div>
      </w:divsChild>
    </w:div>
    <w:div w:id="1855263547">
      <w:bodyDiv w:val="1"/>
      <w:marLeft w:val="0"/>
      <w:marRight w:val="0"/>
      <w:marTop w:val="0"/>
      <w:marBottom w:val="0"/>
      <w:divBdr>
        <w:top w:val="none" w:sz="0" w:space="0" w:color="auto"/>
        <w:left w:val="none" w:sz="0" w:space="0" w:color="auto"/>
        <w:bottom w:val="none" w:sz="0" w:space="0" w:color="auto"/>
        <w:right w:val="none" w:sz="0" w:space="0" w:color="auto"/>
      </w:divBdr>
    </w:div>
    <w:div w:id="2065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cyle.com" TargetMode="External"/><Relationship Id="rId5" Type="http://schemas.openxmlformats.org/officeDocument/2006/relationships/hyperlink" Target="mailto:fafcyle@fafcyle.com" TargetMode="Externa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Picardo Nieto</dc:creator>
  <cp:keywords/>
  <dc:description/>
  <cp:lastModifiedBy>Alvaro Picardo Nieto</cp:lastModifiedBy>
  <cp:revision>2</cp:revision>
  <dcterms:created xsi:type="dcterms:W3CDTF">2018-11-30T12:11:00Z</dcterms:created>
  <dcterms:modified xsi:type="dcterms:W3CDTF">2018-11-30T12:11:00Z</dcterms:modified>
</cp:coreProperties>
</file>